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26336" w14:textId="77777777" w:rsidR="000A0BCD" w:rsidRPr="00463FF6" w:rsidRDefault="000A0BCD" w:rsidP="00EE67BF">
      <w:pPr>
        <w:jc w:val="center"/>
        <w:rPr>
          <w:b/>
          <w:bCs/>
        </w:rPr>
      </w:pPr>
      <w:r w:rsidRPr="00463FF6">
        <w:rPr>
          <w:b/>
          <w:bCs/>
        </w:rPr>
        <w:t>STATE OF GEORGIA</w:t>
      </w:r>
    </w:p>
    <w:p w14:paraId="49FB50C1" w14:textId="34517AE7" w:rsidR="000A0BCD" w:rsidRPr="00463FF6" w:rsidRDefault="000A0BCD" w:rsidP="00EE67BF">
      <w:pPr>
        <w:jc w:val="center"/>
        <w:rPr>
          <w:b/>
          <w:bCs/>
        </w:rPr>
      </w:pPr>
      <w:r w:rsidRPr="00463FF6">
        <w:rPr>
          <w:b/>
          <w:bCs/>
        </w:rPr>
        <w:t>BEFORE THE GEORGIA PUBLIC SERVICE COMMISSION</w:t>
      </w:r>
    </w:p>
    <w:p w14:paraId="34E4C783" w14:textId="47C6AD07" w:rsidR="000A0BCD" w:rsidRPr="00463FF6" w:rsidRDefault="000A0BCD" w:rsidP="0044500A">
      <w:pPr>
        <w:jc w:val="both"/>
        <w:rPr>
          <w:b/>
          <w:bCs/>
        </w:rPr>
      </w:pPr>
    </w:p>
    <w:p w14:paraId="14D62501" w14:textId="77777777" w:rsidR="000A0BCD" w:rsidRPr="00463FF6" w:rsidRDefault="000A0BCD" w:rsidP="0044500A">
      <w:pPr>
        <w:jc w:val="both"/>
        <w:rPr>
          <w:b/>
          <w:bCs/>
        </w:rPr>
      </w:pPr>
    </w:p>
    <w:p w14:paraId="649AC84C" w14:textId="51FDE8BB" w:rsidR="000A0BCD" w:rsidRPr="00463FF6" w:rsidRDefault="000A0BCD" w:rsidP="0044500A">
      <w:pPr>
        <w:jc w:val="both"/>
        <w:rPr>
          <w:b/>
          <w:bCs/>
        </w:rPr>
      </w:pPr>
      <w:r w:rsidRPr="00463FF6">
        <w:rPr>
          <w:b/>
          <w:bCs/>
        </w:rPr>
        <w:t>In Re:</w:t>
      </w:r>
    </w:p>
    <w:p w14:paraId="2102F629" w14:textId="77777777" w:rsidR="000A0BCD" w:rsidRPr="00463FF6" w:rsidRDefault="000A0BCD" w:rsidP="0044500A">
      <w:pPr>
        <w:jc w:val="both"/>
        <w:rPr>
          <w:b/>
          <w:bCs/>
        </w:rPr>
      </w:pPr>
    </w:p>
    <w:p w14:paraId="09AA419D" w14:textId="77777777" w:rsidR="000A0BCD" w:rsidRPr="00463FF6" w:rsidRDefault="000A0BCD" w:rsidP="0044500A">
      <w:pPr>
        <w:tabs>
          <w:tab w:val="left" w:pos="4680"/>
        </w:tabs>
        <w:jc w:val="both"/>
        <w:rPr>
          <w:b/>
          <w:bCs/>
        </w:rPr>
      </w:pPr>
      <w:r w:rsidRPr="00463FF6">
        <w:rPr>
          <w:b/>
          <w:bCs/>
        </w:rPr>
        <w:t>Capacity and Energy Payments to</w:t>
      </w:r>
      <w:r w:rsidRPr="00463FF6">
        <w:rPr>
          <w:b/>
          <w:bCs/>
        </w:rPr>
        <w:tab/>
        <w:t>)</w:t>
      </w:r>
      <w:r w:rsidRPr="00463FF6">
        <w:rPr>
          <w:b/>
          <w:bCs/>
        </w:rPr>
        <w:tab/>
      </w:r>
      <w:r w:rsidRPr="00463FF6">
        <w:rPr>
          <w:b/>
          <w:bCs/>
        </w:rPr>
        <w:tab/>
        <w:t>Docket No. 4822</w:t>
      </w:r>
    </w:p>
    <w:p w14:paraId="63A3D8C8" w14:textId="77777777" w:rsidR="000A0BCD" w:rsidRPr="00463FF6" w:rsidRDefault="000A0BCD" w:rsidP="0044500A">
      <w:pPr>
        <w:tabs>
          <w:tab w:val="left" w:pos="4680"/>
        </w:tabs>
        <w:jc w:val="both"/>
        <w:rPr>
          <w:b/>
          <w:bCs/>
        </w:rPr>
      </w:pPr>
      <w:r w:rsidRPr="00463FF6">
        <w:rPr>
          <w:b/>
          <w:bCs/>
        </w:rPr>
        <w:t>Cogenerators Under PURPA</w:t>
      </w:r>
      <w:r w:rsidRPr="00463FF6">
        <w:rPr>
          <w:b/>
          <w:bCs/>
        </w:rPr>
        <w:tab/>
        <w:t>)</w:t>
      </w:r>
    </w:p>
    <w:p w14:paraId="1FC06C11" w14:textId="77777777" w:rsidR="000A0BCD" w:rsidRPr="00463FF6" w:rsidRDefault="000A0BCD" w:rsidP="0044500A">
      <w:pPr>
        <w:tabs>
          <w:tab w:val="left" w:pos="4680"/>
        </w:tabs>
        <w:jc w:val="both"/>
        <w:rPr>
          <w:b/>
          <w:bCs/>
        </w:rPr>
      </w:pPr>
      <w:r w:rsidRPr="00463FF6">
        <w:rPr>
          <w:b/>
          <w:bCs/>
        </w:rPr>
        <w:tab/>
        <w:t>)</w:t>
      </w:r>
    </w:p>
    <w:p w14:paraId="33FE81DF" w14:textId="77777777" w:rsidR="000A0BCD" w:rsidRPr="00463FF6" w:rsidRDefault="000A0BCD" w:rsidP="0044500A">
      <w:pPr>
        <w:tabs>
          <w:tab w:val="left" w:pos="4680"/>
        </w:tabs>
        <w:jc w:val="both"/>
        <w:rPr>
          <w:b/>
          <w:bCs/>
        </w:rPr>
      </w:pPr>
      <w:r w:rsidRPr="00463FF6">
        <w:rPr>
          <w:b/>
          <w:bCs/>
        </w:rPr>
        <w:t>Georgia Power Company’s Certificate</w:t>
      </w:r>
      <w:r w:rsidRPr="00463FF6">
        <w:rPr>
          <w:b/>
          <w:bCs/>
        </w:rPr>
        <w:tab/>
        <w:t>)</w:t>
      </w:r>
      <w:r w:rsidRPr="00463FF6">
        <w:rPr>
          <w:b/>
          <w:bCs/>
        </w:rPr>
        <w:tab/>
      </w:r>
      <w:r w:rsidRPr="00463FF6">
        <w:rPr>
          <w:b/>
          <w:bCs/>
        </w:rPr>
        <w:tab/>
        <w:t>Docket No. 16573</w:t>
      </w:r>
    </w:p>
    <w:p w14:paraId="45C91C9B" w14:textId="77777777" w:rsidR="000A0BCD" w:rsidRPr="00463FF6" w:rsidRDefault="000A0BCD" w:rsidP="0044500A">
      <w:pPr>
        <w:tabs>
          <w:tab w:val="left" w:pos="4680"/>
        </w:tabs>
        <w:jc w:val="both"/>
        <w:rPr>
          <w:b/>
          <w:bCs/>
        </w:rPr>
      </w:pPr>
      <w:r w:rsidRPr="00463FF6">
        <w:rPr>
          <w:b/>
          <w:bCs/>
        </w:rPr>
        <w:t>Green Energy Program</w:t>
      </w:r>
      <w:r w:rsidRPr="00463FF6">
        <w:rPr>
          <w:b/>
          <w:bCs/>
        </w:rPr>
        <w:tab/>
        <w:t>)</w:t>
      </w:r>
    </w:p>
    <w:p w14:paraId="4F5B42EB" w14:textId="77777777" w:rsidR="000A0BCD" w:rsidRPr="00463FF6" w:rsidRDefault="000A0BCD" w:rsidP="0044500A">
      <w:pPr>
        <w:tabs>
          <w:tab w:val="left" w:pos="4680"/>
        </w:tabs>
        <w:jc w:val="both"/>
        <w:rPr>
          <w:b/>
          <w:bCs/>
        </w:rPr>
      </w:pPr>
      <w:r w:rsidRPr="00463FF6">
        <w:rPr>
          <w:b/>
          <w:bCs/>
        </w:rPr>
        <w:tab/>
        <w:t>)</w:t>
      </w:r>
    </w:p>
    <w:p w14:paraId="7B231EB0" w14:textId="5CD9056B" w:rsidR="000A0BCD" w:rsidRPr="00463FF6" w:rsidRDefault="000A0BCD" w:rsidP="0044500A">
      <w:pPr>
        <w:tabs>
          <w:tab w:val="left" w:pos="4680"/>
        </w:tabs>
        <w:jc w:val="both"/>
        <w:rPr>
          <w:b/>
          <w:bCs/>
        </w:rPr>
      </w:pPr>
      <w:r w:rsidRPr="00463FF6">
        <w:rPr>
          <w:b/>
          <w:bCs/>
        </w:rPr>
        <w:t>Biomass Gas &amp; Electric, LLC’s</w:t>
      </w:r>
      <w:r w:rsidRPr="00463FF6">
        <w:rPr>
          <w:b/>
          <w:bCs/>
        </w:rPr>
        <w:tab/>
        <w:t>)</w:t>
      </w:r>
      <w:r w:rsidRPr="00463FF6">
        <w:rPr>
          <w:b/>
          <w:bCs/>
        </w:rPr>
        <w:tab/>
      </w:r>
      <w:r w:rsidRPr="00463FF6">
        <w:rPr>
          <w:b/>
          <w:bCs/>
        </w:rPr>
        <w:tab/>
        <w:t>Docket No. 19279</w:t>
      </w:r>
    </w:p>
    <w:p w14:paraId="0D5D46AB" w14:textId="77777777" w:rsidR="000A0BCD" w:rsidRPr="00463FF6" w:rsidRDefault="000A0BCD" w:rsidP="0044500A">
      <w:pPr>
        <w:tabs>
          <w:tab w:val="left" w:pos="4680"/>
        </w:tabs>
        <w:jc w:val="both"/>
        <w:rPr>
          <w:b/>
          <w:bCs/>
        </w:rPr>
      </w:pPr>
      <w:r w:rsidRPr="00463FF6">
        <w:rPr>
          <w:b/>
          <w:bCs/>
        </w:rPr>
        <w:t>Petition to Establish Docket</w:t>
      </w:r>
      <w:r w:rsidRPr="00463FF6">
        <w:rPr>
          <w:b/>
          <w:bCs/>
        </w:rPr>
        <w:tab/>
        <w:t>)</w:t>
      </w:r>
    </w:p>
    <w:p w14:paraId="4E6CC3FE" w14:textId="77777777" w:rsidR="000A0BCD" w:rsidRPr="00463FF6" w:rsidRDefault="000A0BCD" w:rsidP="0044500A">
      <w:pPr>
        <w:tabs>
          <w:tab w:val="left" w:pos="4680"/>
        </w:tabs>
        <w:jc w:val="both"/>
        <w:rPr>
          <w:b/>
          <w:bCs/>
        </w:rPr>
      </w:pPr>
      <w:r w:rsidRPr="00463FF6">
        <w:rPr>
          <w:b/>
          <w:bCs/>
        </w:rPr>
        <w:t>Regarding Forsyth County</w:t>
      </w:r>
      <w:r w:rsidRPr="00463FF6">
        <w:rPr>
          <w:b/>
          <w:bCs/>
        </w:rPr>
        <w:tab/>
        <w:t>)</w:t>
      </w:r>
    </w:p>
    <w:p w14:paraId="3DA7D81E" w14:textId="77777777" w:rsidR="000A0BCD" w:rsidRPr="00463FF6" w:rsidRDefault="000A0BCD" w:rsidP="0044500A">
      <w:pPr>
        <w:tabs>
          <w:tab w:val="left" w:pos="4680"/>
        </w:tabs>
        <w:jc w:val="both"/>
        <w:rPr>
          <w:b/>
          <w:bCs/>
        </w:rPr>
      </w:pPr>
      <w:r w:rsidRPr="00463FF6">
        <w:rPr>
          <w:b/>
          <w:bCs/>
        </w:rPr>
        <w:t>Renewable Energy Plant</w:t>
      </w:r>
      <w:r w:rsidRPr="00463FF6">
        <w:rPr>
          <w:b/>
          <w:bCs/>
        </w:rPr>
        <w:tab/>
        <w:t>)</w:t>
      </w:r>
    </w:p>
    <w:p w14:paraId="6B1ABF80" w14:textId="77777777" w:rsidR="000A0BCD" w:rsidRPr="00463FF6" w:rsidRDefault="000A0BCD" w:rsidP="0044500A">
      <w:pPr>
        <w:tabs>
          <w:tab w:val="left" w:pos="4680"/>
        </w:tabs>
        <w:jc w:val="both"/>
        <w:rPr>
          <w:b/>
          <w:bCs/>
        </w:rPr>
      </w:pPr>
      <w:r w:rsidRPr="00463FF6">
        <w:rPr>
          <w:b/>
          <w:bCs/>
          <w:u w:val="single"/>
        </w:rPr>
        <w:tab/>
      </w:r>
      <w:r w:rsidRPr="00463FF6">
        <w:rPr>
          <w:b/>
          <w:bCs/>
        </w:rPr>
        <w:t>)</w:t>
      </w:r>
    </w:p>
    <w:p w14:paraId="2BE8C77A" w14:textId="1C39564F" w:rsidR="000A0BCD" w:rsidRPr="00463FF6" w:rsidRDefault="000A0BCD" w:rsidP="0044500A">
      <w:pPr>
        <w:jc w:val="both"/>
        <w:rPr>
          <w:b/>
          <w:bCs/>
        </w:rPr>
      </w:pPr>
    </w:p>
    <w:p w14:paraId="5EB0D702" w14:textId="41355E6A" w:rsidR="000A0BCD" w:rsidRPr="00463FF6" w:rsidRDefault="000A0BCD" w:rsidP="0044500A">
      <w:pPr>
        <w:jc w:val="both"/>
        <w:rPr>
          <w:b/>
          <w:bCs/>
        </w:rPr>
      </w:pPr>
    </w:p>
    <w:p w14:paraId="35686074" w14:textId="5B06F658" w:rsidR="00997781" w:rsidRPr="00463FF6" w:rsidRDefault="00997781" w:rsidP="003B4782">
      <w:pPr>
        <w:spacing w:after="240"/>
        <w:jc w:val="center"/>
        <w:rPr>
          <w:b/>
          <w:spacing w:val="-3"/>
          <w:u w:val="single"/>
        </w:rPr>
      </w:pPr>
      <w:r w:rsidRPr="00463FF6">
        <w:rPr>
          <w:b/>
          <w:spacing w:val="-3"/>
          <w:u w:val="single"/>
        </w:rPr>
        <w:t xml:space="preserve">GEORGIA POWER COMPANY’S </w:t>
      </w:r>
      <w:r w:rsidR="009E6666">
        <w:rPr>
          <w:b/>
          <w:spacing w:val="-3"/>
          <w:u w:val="single"/>
        </w:rPr>
        <w:t>MOTION TO DISMISS</w:t>
      </w:r>
      <w:r w:rsidRPr="00463FF6">
        <w:rPr>
          <w:b/>
          <w:spacing w:val="-3"/>
          <w:u w:val="single"/>
        </w:rPr>
        <w:t xml:space="preserve"> </w:t>
      </w:r>
      <w:r w:rsidR="00054295" w:rsidRPr="00463FF6">
        <w:rPr>
          <w:b/>
          <w:spacing w:val="-3"/>
          <w:u w:val="single"/>
        </w:rPr>
        <w:t>HEELSTONE RENEWABLE ENERGY, LLC’S</w:t>
      </w:r>
      <w:r w:rsidRPr="00463FF6">
        <w:rPr>
          <w:b/>
          <w:spacing w:val="-3"/>
          <w:u w:val="single"/>
        </w:rPr>
        <w:t xml:space="preserve"> PETITION FOR DECLARATORY RULING</w:t>
      </w:r>
    </w:p>
    <w:p w14:paraId="68DBF3F9" w14:textId="0FF3C142" w:rsidR="00D652CC" w:rsidRPr="00463FF6" w:rsidRDefault="00997781" w:rsidP="00060805">
      <w:pPr>
        <w:spacing w:before="360" w:line="480" w:lineRule="auto"/>
        <w:ind w:firstLine="720"/>
        <w:jc w:val="both"/>
        <w:rPr>
          <w:spacing w:val="-3"/>
        </w:rPr>
      </w:pPr>
      <w:bookmarkStart w:id="0" w:name="_Hlk496689167"/>
      <w:r w:rsidRPr="00463FF6">
        <w:rPr>
          <w:spacing w:val="-3"/>
        </w:rPr>
        <w:t>Georgia Power Company (“Georgia Power”</w:t>
      </w:r>
      <w:r w:rsidR="00A740E2">
        <w:rPr>
          <w:spacing w:val="-3"/>
        </w:rPr>
        <w:t xml:space="preserve"> or the “Company”</w:t>
      </w:r>
      <w:r w:rsidRPr="00463FF6">
        <w:rPr>
          <w:spacing w:val="-3"/>
        </w:rPr>
        <w:t xml:space="preserve">) hereby </w:t>
      </w:r>
      <w:r w:rsidR="009E6666">
        <w:rPr>
          <w:spacing w:val="-3"/>
        </w:rPr>
        <w:t>files this motion</w:t>
      </w:r>
      <w:r w:rsidR="001D17E5">
        <w:rPr>
          <w:spacing w:val="-3"/>
        </w:rPr>
        <w:t xml:space="preserve"> to dismiss</w:t>
      </w:r>
      <w:r w:rsidR="009E6666">
        <w:rPr>
          <w:spacing w:val="-3"/>
        </w:rPr>
        <w:t xml:space="preserve"> </w:t>
      </w:r>
      <w:r w:rsidR="00054295" w:rsidRPr="00463FF6">
        <w:rPr>
          <w:spacing w:val="-3"/>
        </w:rPr>
        <w:t>Heelstone Renewable Energy, LLC</w:t>
      </w:r>
      <w:r w:rsidR="00A740E2">
        <w:rPr>
          <w:spacing w:val="-3"/>
        </w:rPr>
        <w:t>’s</w:t>
      </w:r>
      <w:r w:rsidRPr="00463FF6">
        <w:rPr>
          <w:spacing w:val="-3"/>
        </w:rPr>
        <w:t xml:space="preserve"> (“</w:t>
      </w:r>
      <w:r w:rsidR="00054295" w:rsidRPr="00463FF6">
        <w:rPr>
          <w:spacing w:val="-3"/>
        </w:rPr>
        <w:t>Heelstone</w:t>
      </w:r>
      <w:r w:rsidRPr="00463FF6">
        <w:rPr>
          <w:spacing w:val="-3"/>
        </w:rPr>
        <w:t xml:space="preserve">”) </w:t>
      </w:r>
      <w:r w:rsidR="00A740E2" w:rsidRPr="00463FF6">
        <w:rPr>
          <w:spacing w:val="-3"/>
        </w:rPr>
        <w:t xml:space="preserve">Petition </w:t>
      </w:r>
      <w:r w:rsidRPr="00463FF6">
        <w:rPr>
          <w:spacing w:val="-3"/>
        </w:rPr>
        <w:t xml:space="preserve">for Declaratory Ruling </w:t>
      </w:r>
      <w:r w:rsidR="006E7B3D">
        <w:rPr>
          <w:spacing w:val="-3"/>
        </w:rPr>
        <w:t>(the “</w:t>
      </w:r>
      <w:r w:rsidRPr="00463FF6">
        <w:rPr>
          <w:spacing w:val="-3"/>
        </w:rPr>
        <w:t>Petition”).</w:t>
      </w:r>
      <w:r w:rsidR="00BE3770">
        <w:rPr>
          <w:spacing w:val="-3"/>
        </w:rPr>
        <w:t xml:space="preserve"> </w:t>
      </w:r>
      <w:r w:rsidR="000A0BCD" w:rsidRPr="00463FF6">
        <w:rPr>
          <w:spacing w:val="-3"/>
        </w:rPr>
        <w:t xml:space="preserve">The Georgia Public Service Commission (“Commission” or “GPSC”) should </w:t>
      </w:r>
      <w:r w:rsidR="009E6666">
        <w:rPr>
          <w:spacing w:val="-3"/>
        </w:rPr>
        <w:t>dismiss</w:t>
      </w:r>
      <w:r w:rsidR="009E6666" w:rsidRPr="00463FF6">
        <w:rPr>
          <w:spacing w:val="-3"/>
        </w:rPr>
        <w:t xml:space="preserve"> </w:t>
      </w:r>
      <w:r w:rsidR="000A0BCD" w:rsidRPr="00463FF6">
        <w:rPr>
          <w:spacing w:val="-3"/>
        </w:rPr>
        <w:t>the Petition</w:t>
      </w:r>
      <w:r w:rsidR="00D73FCF">
        <w:rPr>
          <w:spacing w:val="-3"/>
        </w:rPr>
        <w:t xml:space="preserve"> for the reasons</w:t>
      </w:r>
      <w:r w:rsidR="00060E1F">
        <w:rPr>
          <w:spacing w:val="-3"/>
        </w:rPr>
        <w:t xml:space="preserve"> set forth herein</w:t>
      </w:r>
      <w:r w:rsidR="000A0BCD" w:rsidRPr="00463FF6">
        <w:rPr>
          <w:spacing w:val="-3"/>
        </w:rPr>
        <w:t xml:space="preserve">. </w:t>
      </w:r>
      <w:r w:rsidR="00060E1F">
        <w:rPr>
          <w:spacing w:val="-3"/>
        </w:rPr>
        <w:t>Specifically, the</w:t>
      </w:r>
      <w:r w:rsidR="00060E1F" w:rsidRPr="00463FF6">
        <w:rPr>
          <w:spacing w:val="-3"/>
        </w:rPr>
        <w:t xml:space="preserve"> </w:t>
      </w:r>
      <w:r w:rsidR="000A0BCD" w:rsidRPr="00463FF6">
        <w:rPr>
          <w:spacing w:val="-3"/>
        </w:rPr>
        <w:t xml:space="preserve">Petition </w:t>
      </w:r>
      <w:r w:rsidR="005D0939" w:rsidRPr="00463FF6">
        <w:rPr>
          <w:spacing w:val="-3"/>
        </w:rPr>
        <w:t xml:space="preserve">(1) presents no issues appropriate for disposition in a declaratory ruling; (2) </w:t>
      </w:r>
      <w:r w:rsidR="0019535A">
        <w:rPr>
          <w:spacing w:val="-3"/>
        </w:rPr>
        <w:t xml:space="preserve">fails to meet the procedural requirements for a </w:t>
      </w:r>
      <w:r w:rsidR="006E0EE7">
        <w:rPr>
          <w:spacing w:val="-3"/>
        </w:rPr>
        <w:t xml:space="preserve">declaratory ruling </w:t>
      </w:r>
      <w:r w:rsidR="0019535A">
        <w:rPr>
          <w:spacing w:val="-3"/>
        </w:rPr>
        <w:t xml:space="preserve">as stated in the Commission’s rules; (3) </w:t>
      </w:r>
      <w:r w:rsidR="005D0939" w:rsidRPr="00463FF6">
        <w:rPr>
          <w:spacing w:val="-3"/>
        </w:rPr>
        <w:t>involves the same issues and arguments as those currently being litigated in this proceeding;</w:t>
      </w:r>
      <w:r w:rsidR="00A740E2">
        <w:rPr>
          <w:spacing w:val="-3"/>
        </w:rPr>
        <w:t xml:space="preserve"> </w:t>
      </w:r>
      <w:r w:rsidR="00BE3770">
        <w:rPr>
          <w:spacing w:val="-3"/>
        </w:rPr>
        <w:t xml:space="preserve">and </w:t>
      </w:r>
      <w:r w:rsidR="005D0939" w:rsidRPr="00463FF6">
        <w:rPr>
          <w:spacing w:val="-3"/>
        </w:rPr>
        <w:t>(</w:t>
      </w:r>
      <w:r w:rsidR="00BE3770">
        <w:rPr>
          <w:spacing w:val="-3"/>
        </w:rPr>
        <w:t>4</w:t>
      </w:r>
      <w:r w:rsidR="005D0939" w:rsidRPr="00463FF6">
        <w:rPr>
          <w:spacing w:val="-3"/>
        </w:rPr>
        <w:t>) represents an attempt to circumvent the procedure and process</w:t>
      </w:r>
      <w:r w:rsidR="00A740E2">
        <w:rPr>
          <w:spacing w:val="-3"/>
        </w:rPr>
        <w:t xml:space="preserve"> </w:t>
      </w:r>
      <w:r w:rsidR="005903BA">
        <w:rPr>
          <w:spacing w:val="-3"/>
        </w:rPr>
        <w:t>for party participation identified by this Commission in its August 20, 2020 Procedural and Scheduling Order</w:t>
      </w:r>
      <w:r w:rsidR="005D0939" w:rsidRPr="00463FF6">
        <w:rPr>
          <w:spacing w:val="-3"/>
        </w:rPr>
        <w:t xml:space="preserve"> </w:t>
      </w:r>
      <w:r w:rsidR="005903BA">
        <w:rPr>
          <w:spacing w:val="-3"/>
        </w:rPr>
        <w:t>(“PSO”)</w:t>
      </w:r>
      <w:r w:rsidR="005D0939" w:rsidRPr="00463FF6">
        <w:rPr>
          <w:spacing w:val="-3"/>
        </w:rPr>
        <w:t xml:space="preserve">. </w:t>
      </w:r>
    </w:p>
    <w:p w14:paraId="782476EF" w14:textId="735CC16E" w:rsidR="00997781" w:rsidRPr="00463FF6" w:rsidRDefault="00D652CC" w:rsidP="003B4782">
      <w:pPr>
        <w:pStyle w:val="Heading1"/>
        <w:spacing w:before="240"/>
      </w:pPr>
      <w:r w:rsidRPr="00463FF6">
        <w:lastRenderedPageBreak/>
        <w:t xml:space="preserve">INTRODUCTION AND PROCEDURAL OVERVIEW </w:t>
      </w:r>
    </w:p>
    <w:p w14:paraId="0D4AD1A7" w14:textId="3D1F721A" w:rsidR="007F5D4E" w:rsidRPr="00463FF6" w:rsidRDefault="00997781" w:rsidP="0044500A">
      <w:pPr>
        <w:keepNext/>
        <w:spacing w:line="480" w:lineRule="auto"/>
        <w:ind w:firstLine="720"/>
        <w:jc w:val="both"/>
      </w:pPr>
      <w:r w:rsidRPr="00463FF6">
        <w:t xml:space="preserve">On </w:t>
      </w:r>
      <w:r w:rsidR="00811FDB" w:rsidRPr="00463FF6">
        <w:t xml:space="preserve">August </w:t>
      </w:r>
      <w:r w:rsidR="007F5D4E" w:rsidRPr="00463FF6">
        <w:t>20, 2020</w:t>
      </w:r>
      <w:r w:rsidR="005903BA">
        <w:t>,</w:t>
      </w:r>
      <w:r w:rsidR="007F5D4E" w:rsidRPr="00463FF6">
        <w:t xml:space="preserve"> the Commission issued </w:t>
      </w:r>
      <w:r w:rsidR="009E6666">
        <w:t>the</w:t>
      </w:r>
      <w:r w:rsidR="009E6666" w:rsidRPr="00463FF6">
        <w:t xml:space="preserve"> </w:t>
      </w:r>
      <w:r w:rsidR="007F5D4E" w:rsidRPr="00463FF6">
        <w:t xml:space="preserve">PSO establishing a review of the Company’s avoided costs in Docket No. 4822. Due to the overlapping nature of the issues and to ensure all impacted programs and avoided costs </w:t>
      </w:r>
      <w:r w:rsidR="005903BA">
        <w:t>were</w:t>
      </w:r>
      <w:r w:rsidR="005903BA" w:rsidRPr="00463FF6">
        <w:t xml:space="preserve"> </w:t>
      </w:r>
      <w:r w:rsidR="007F5D4E" w:rsidRPr="00463FF6">
        <w:t>addressed, the Commission extended its avoided cost review to Docket Nos. 16573 and 19279. The PSO identified four issues involved:</w:t>
      </w:r>
    </w:p>
    <w:p w14:paraId="0A59B3E3" w14:textId="77777777" w:rsidR="007F5D4E" w:rsidRPr="00463FF6" w:rsidRDefault="007F5D4E" w:rsidP="0044500A">
      <w:pPr>
        <w:pStyle w:val="ListParagraph"/>
        <w:numPr>
          <w:ilvl w:val="0"/>
          <w:numId w:val="13"/>
        </w:numPr>
        <w:ind w:left="1080" w:right="720"/>
        <w:jc w:val="both"/>
      </w:pPr>
      <w:r w:rsidRPr="00463FF6">
        <w:t>By using the current avoided cost methodologies, are renewable energy and energy efficiency resources being evaluated correctly?</w:t>
      </w:r>
    </w:p>
    <w:p w14:paraId="2E56B221" w14:textId="77777777" w:rsidR="007F5D4E" w:rsidRPr="00463FF6" w:rsidRDefault="007F5D4E" w:rsidP="0044500A">
      <w:pPr>
        <w:pStyle w:val="ListParagraph"/>
        <w:ind w:left="1080" w:right="720"/>
        <w:jc w:val="both"/>
      </w:pPr>
    </w:p>
    <w:p w14:paraId="4EFC6B56" w14:textId="77777777" w:rsidR="007F5D4E" w:rsidRPr="00463FF6" w:rsidRDefault="007F5D4E" w:rsidP="0044500A">
      <w:pPr>
        <w:pStyle w:val="ListParagraph"/>
        <w:numPr>
          <w:ilvl w:val="0"/>
          <w:numId w:val="13"/>
        </w:numPr>
        <w:ind w:left="1080" w:right="720"/>
        <w:jc w:val="both"/>
      </w:pPr>
      <w:r w:rsidRPr="00463FF6">
        <w:t>Should the Commission approve any modifications to the current methodologies that are used to calculate PURPA avoided costs?</w:t>
      </w:r>
    </w:p>
    <w:p w14:paraId="44AEA9CB" w14:textId="77777777" w:rsidR="007F5D4E" w:rsidRPr="00463FF6" w:rsidRDefault="007F5D4E" w:rsidP="0044500A">
      <w:pPr>
        <w:pStyle w:val="ListParagraph"/>
        <w:ind w:left="1080" w:right="720"/>
        <w:jc w:val="both"/>
      </w:pPr>
    </w:p>
    <w:p w14:paraId="7BB4ABA1" w14:textId="7989D494" w:rsidR="007F5D4E" w:rsidRPr="00463FF6" w:rsidRDefault="007F5D4E" w:rsidP="0044500A">
      <w:pPr>
        <w:pStyle w:val="ListParagraph"/>
        <w:numPr>
          <w:ilvl w:val="0"/>
          <w:numId w:val="13"/>
        </w:numPr>
        <w:ind w:left="1080" w:right="720"/>
        <w:jc w:val="both"/>
      </w:pPr>
      <w:r w:rsidRPr="00463FF6">
        <w:t>Should the Commission approve any modifications to the three (3) Standard Offer Contracts available for a Qualifying Facility project which include: (1) Standard Contract for the Purchase of Non-Firm Energy from a Qualifying Facility, (2) Standard Contract for the Purchase of Firm Capacity and Energy from a Qualifying Facility], and (3) Standard Contract for the Purchase of Firm Capacity and Energy from a Renewable Qualifying Facility Utilizing the Proxy Unit Methodology?</w:t>
      </w:r>
    </w:p>
    <w:p w14:paraId="5D294C5A" w14:textId="77777777" w:rsidR="007F5D4E" w:rsidRPr="00463FF6" w:rsidRDefault="007F5D4E" w:rsidP="0044500A">
      <w:pPr>
        <w:pStyle w:val="ListParagraph"/>
        <w:ind w:left="1080" w:right="720"/>
        <w:jc w:val="both"/>
      </w:pPr>
    </w:p>
    <w:p w14:paraId="2F95817E" w14:textId="59B1367E" w:rsidR="007F5D4E" w:rsidRPr="00463FF6" w:rsidRDefault="007F5D4E" w:rsidP="0044500A">
      <w:pPr>
        <w:pStyle w:val="ListParagraph"/>
        <w:numPr>
          <w:ilvl w:val="0"/>
          <w:numId w:val="13"/>
        </w:numPr>
        <w:ind w:left="1080" w:right="720"/>
        <w:jc w:val="both"/>
      </w:pPr>
      <w:r w:rsidRPr="00463FF6">
        <w:t>All other issues that impact the valuation, application, and/or calculation of avoided costs regarding renewable energy or energy efficiency resources.</w:t>
      </w:r>
    </w:p>
    <w:p w14:paraId="7E8473AF" w14:textId="77777777" w:rsidR="00D652CC" w:rsidRPr="00463FF6" w:rsidRDefault="00D652CC" w:rsidP="00BE3770">
      <w:pPr>
        <w:ind w:right="720"/>
        <w:jc w:val="both"/>
      </w:pPr>
    </w:p>
    <w:p w14:paraId="108B208A" w14:textId="266D50AB" w:rsidR="00997781" w:rsidRPr="004E60AF" w:rsidRDefault="007F5D4E" w:rsidP="006E7B3D">
      <w:pPr>
        <w:spacing w:line="480" w:lineRule="auto"/>
        <w:ind w:firstLine="720"/>
        <w:jc w:val="both"/>
      </w:pPr>
      <w:r w:rsidRPr="00463FF6">
        <w:t xml:space="preserve">On September 17, 2020, Heelstone </w:t>
      </w:r>
      <w:r w:rsidR="001B2E7C" w:rsidRPr="00463FF6">
        <w:t xml:space="preserve">filed a motion for leave to intervene in this </w:t>
      </w:r>
      <w:r w:rsidR="00BE3770">
        <w:t>proceeding</w:t>
      </w:r>
      <w:r w:rsidR="001B2E7C" w:rsidRPr="00463FF6">
        <w:t xml:space="preserve"> (“Heelstone Intervention”). Heelstone outlined its interest</w:t>
      </w:r>
      <w:r w:rsidR="00D70AC6">
        <w:t xml:space="preserve"> in the current proceeding</w:t>
      </w:r>
      <w:r w:rsidR="001B2E7C" w:rsidRPr="00463FF6">
        <w:t xml:space="preserve"> explaining that it “had made material capital expenditures towards the development and construction of its projects in Georgia</w:t>
      </w:r>
      <w:r w:rsidR="005903BA">
        <w:t>”</w:t>
      </w:r>
      <w:r w:rsidR="00D70AC6">
        <w:t xml:space="preserve"> and that its business interests may be “significantly affected by any decision rendered by the Commission in these Dockets.” </w:t>
      </w:r>
      <w:r w:rsidR="00D70AC6" w:rsidRPr="009E6666">
        <w:t>Heelstone Intervention</w:t>
      </w:r>
      <w:r w:rsidR="00D70AC6">
        <w:t xml:space="preserve"> at 3.</w:t>
      </w:r>
      <w:r w:rsidR="001B2E7C" w:rsidRPr="00463FF6">
        <w:t xml:space="preserve"> The Heelstone </w:t>
      </w:r>
      <w:r w:rsidR="00D70AC6">
        <w:t xml:space="preserve">Intervention </w:t>
      </w:r>
      <w:r w:rsidR="001B2E7C" w:rsidRPr="00463FF6">
        <w:t xml:space="preserve">requested full participation as a party in the proceeding, including the right to present testimony and exhibits, cross-examine witnesses, and file briefs. </w:t>
      </w:r>
      <w:r w:rsidR="00EF5038" w:rsidRPr="00EF5038">
        <w:rPr>
          <w:i/>
          <w:iCs/>
        </w:rPr>
        <w:t>Id</w:t>
      </w:r>
      <w:r w:rsidR="001B2E7C" w:rsidRPr="00463FF6">
        <w:t xml:space="preserve">. </w:t>
      </w:r>
      <w:r w:rsidR="00101260">
        <w:t>Heelstone’s counsel participated in cross examination of Company witnesses at the November 9, 2020</w:t>
      </w:r>
      <w:r w:rsidR="0026085A">
        <w:t xml:space="preserve"> and January 19, 2021</w:t>
      </w:r>
      <w:r w:rsidR="00101260">
        <w:t xml:space="preserve"> hearing</w:t>
      </w:r>
      <w:r w:rsidR="0026085A">
        <w:t>s</w:t>
      </w:r>
      <w:r w:rsidR="00101260">
        <w:t xml:space="preserve">. Pursuant to the PSO, </w:t>
      </w:r>
      <w:r w:rsidR="00D652CC" w:rsidRPr="00463FF6">
        <w:t xml:space="preserve">Heelstone </w:t>
      </w:r>
      <w:r w:rsidR="009E6666">
        <w:t xml:space="preserve">also </w:t>
      </w:r>
      <w:r w:rsidR="00D652CC" w:rsidRPr="00463FF6">
        <w:t xml:space="preserve">submitted </w:t>
      </w:r>
      <w:r w:rsidR="00101260">
        <w:t xml:space="preserve">rebuttal testimony of </w:t>
      </w:r>
      <w:r w:rsidR="00D652CC" w:rsidRPr="00463FF6">
        <w:t xml:space="preserve">the panel of Justin S. Gravatt, </w:t>
      </w:r>
      <w:r w:rsidR="00D652CC" w:rsidRPr="00463FF6">
        <w:lastRenderedPageBreak/>
        <w:t xml:space="preserve">Jennifer L. Kerrigan, and Austin </w:t>
      </w:r>
      <w:proofErr w:type="spellStart"/>
      <w:r w:rsidR="00D652CC" w:rsidRPr="00463FF6">
        <w:t>Scheffy</w:t>
      </w:r>
      <w:proofErr w:type="spellEnd"/>
      <w:r w:rsidR="001D045B" w:rsidRPr="00463FF6">
        <w:t xml:space="preserve"> on December 4, 2020.</w:t>
      </w:r>
      <w:r w:rsidR="00A53106" w:rsidDel="00A53106">
        <w:rPr>
          <w:rStyle w:val="FootnoteReference"/>
        </w:rPr>
        <w:t xml:space="preserve"> </w:t>
      </w:r>
      <w:r w:rsidR="001D045B" w:rsidRPr="00463FF6">
        <w:t xml:space="preserve"> </w:t>
      </w:r>
      <w:r w:rsidR="00AC28A2">
        <w:t xml:space="preserve">On February 10, 2021, Heelstone filed the </w:t>
      </w:r>
      <w:r w:rsidR="001D045B" w:rsidRPr="00463FF6">
        <w:t>Petition request</w:t>
      </w:r>
      <w:r w:rsidR="006E7B3D">
        <w:t>ing</w:t>
      </w:r>
      <w:r w:rsidR="001D045B" w:rsidRPr="00463FF6">
        <w:t xml:space="preserve"> that the </w:t>
      </w:r>
      <w:r w:rsidR="006E7B3D">
        <w:t>Commission</w:t>
      </w:r>
      <w:r w:rsidR="001D045B" w:rsidRPr="00463FF6">
        <w:t xml:space="preserve"> </w:t>
      </w:r>
      <w:r w:rsidR="00D36AA5">
        <w:t xml:space="preserve">issue </w:t>
      </w:r>
      <w:r w:rsidR="001D045B" w:rsidRPr="00463FF6">
        <w:t>declaratory rulings as to the interpretation of orders applicable to certain “Standard Contract</w:t>
      </w:r>
      <w:r w:rsidR="00C465B1">
        <w:t>[</w:t>
      </w:r>
      <w:r w:rsidR="001D045B" w:rsidRPr="00463FF6">
        <w:t>s</w:t>
      </w:r>
      <w:r w:rsidR="00C465B1">
        <w:t>]</w:t>
      </w:r>
      <w:r w:rsidR="001D045B" w:rsidRPr="00463FF6">
        <w:t xml:space="preserve"> for the Purchase of Non-Firm Energy from a Qualifying Facility” (</w:t>
      </w:r>
      <w:r w:rsidR="004A7469">
        <w:t xml:space="preserve">the </w:t>
      </w:r>
      <w:r w:rsidR="00C465B1">
        <w:t>“</w:t>
      </w:r>
      <w:r w:rsidR="004A7469">
        <w:t xml:space="preserve">Heelstone </w:t>
      </w:r>
      <w:r w:rsidR="00C465B1">
        <w:t>PPA</w:t>
      </w:r>
      <w:r w:rsidR="004A7469">
        <w:t>s</w:t>
      </w:r>
      <w:r w:rsidR="00C465B1">
        <w:t>”</w:t>
      </w:r>
      <w:r w:rsidR="001D045B" w:rsidRPr="00463FF6">
        <w:t xml:space="preserve">). </w:t>
      </w:r>
    </w:p>
    <w:bookmarkEnd w:id="0"/>
    <w:p w14:paraId="446C1790" w14:textId="2F8E6FB8" w:rsidR="00997781" w:rsidRPr="00EE67BF" w:rsidRDefault="006E7B3D" w:rsidP="003B4782">
      <w:pPr>
        <w:pStyle w:val="Heading1"/>
        <w:spacing w:before="240"/>
      </w:pPr>
      <w:r>
        <w:t>BACKGROUND</w:t>
      </w:r>
    </w:p>
    <w:p w14:paraId="02D3D235" w14:textId="4ABC816B" w:rsidR="001D045B" w:rsidRPr="00463FF6" w:rsidRDefault="000840FC" w:rsidP="0044500A">
      <w:pPr>
        <w:spacing w:line="480" w:lineRule="auto"/>
        <w:ind w:firstLine="720"/>
        <w:jc w:val="both"/>
        <w:rPr>
          <w:spacing w:val="-3"/>
        </w:rPr>
      </w:pPr>
      <w:r w:rsidRPr="00463FF6">
        <w:rPr>
          <w:spacing w:val="-3"/>
        </w:rPr>
        <w:t>Heelstone</w:t>
      </w:r>
      <w:r w:rsidR="00672290">
        <w:rPr>
          <w:spacing w:val="-3"/>
        </w:rPr>
        <w:t>’s Petition</w:t>
      </w:r>
      <w:r w:rsidR="00711A4B">
        <w:rPr>
          <w:spacing w:val="-3"/>
        </w:rPr>
        <w:t xml:space="preserve"> makes three</w:t>
      </w:r>
      <w:r w:rsidR="0019535A">
        <w:rPr>
          <w:spacing w:val="-3"/>
        </w:rPr>
        <w:t xml:space="preserve"> specific</w:t>
      </w:r>
      <w:r w:rsidR="00711A4B">
        <w:rPr>
          <w:spacing w:val="-3"/>
        </w:rPr>
        <w:t xml:space="preserve"> declaratory</w:t>
      </w:r>
      <w:r w:rsidRPr="00463FF6">
        <w:rPr>
          <w:spacing w:val="-3"/>
        </w:rPr>
        <w:t xml:space="preserve"> requests</w:t>
      </w:r>
      <w:r w:rsidR="00711A4B">
        <w:rPr>
          <w:spacing w:val="-3"/>
        </w:rPr>
        <w:t>. First, Heelstone asks</w:t>
      </w:r>
      <w:r w:rsidRPr="00463FF6">
        <w:rPr>
          <w:spacing w:val="-3"/>
        </w:rPr>
        <w:t xml:space="preserve"> </w:t>
      </w:r>
      <w:r w:rsidR="009E6666">
        <w:rPr>
          <w:spacing w:val="-3"/>
        </w:rPr>
        <w:t>for a Commission declaration</w:t>
      </w:r>
      <w:r w:rsidRPr="00463FF6">
        <w:rPr>
          <w:spacing w:val="-3"/>
        </w:rPr>
        <w:t xml:space="preserve"> that</w:t>
      </w:r>
      <w:r w:rsidR="00711A4B">
        <w:rPr>
          <w:spacing w:val="-3"/>
        </w:rPr>
        <w:t xml:space="preserve"> </w:t>
      </w:r>
      <w:r w:rsidRPr="00463FF6">
        <w:rPr>
          <w:spacing w:val="-3"/>
        </w:rPr>
        <w:t xml:space="preserve">the </w:t>
      </w:r>
      <w:r w:rsidR="0073213E">
        <w:rPr>
          <w:spacing w:val="-3"/>
        </w:rPr>
        <w:t>Top of Stack lambda the Company files in FERC Form 714</w:t>
      </w:r>
      <w:r w:rsidRPr="00463FF6">
        <w:rPr>
          <w:spacing w:val="-3"/>
        </w:rPr>
        <w:t xml:space="preserve"> is an inaccurate proxy for the utility system lambda in the fixed compensation formula in the Heelstone PPAs</w:t>
      </w:r>
      <w:r w:rsidR="00711A4B">
        <w:rPr>
          <w:spacing w:val="-3"/>
        </w:rPr>
        <w:t xml:space="preserve">. </w:t>
      </w:r>
      <w:r w:rsidR="00E57C13">
        <w:rPr>
          <w:spacing w:val="-3"/>
        </w:rPr>
        <w:t>In addition, Heelstone</w:t>
      </w:r>
      <w:r w:rsidR="00044609">
        <w:rPr>
          <w:spacing w:val="-3"/>
        </w:rPr>
        <w:t xml:space="preserve"> requests that the Commission direct Georgia Power to either (i) make available historical price data on the same basis as stated in Section 1.17 of the Heelstone PPAs, or (ii) set a fixed price for compensation for energy delivered under the Heelstone PPAs. </w:t>
      </w:r>
      <w:r w:rsidR="00711A4B">
        <w:rPr>
          <w:spacing w:val="-3"/>
        </w:rPr>
        <w:t xml:space="preserve">Second, Heelstone </w:t>
      </w:r>
      <w:r w:rsidR="00044609">
        <w:rPr>
          <w:spacing w:val="-3"/>
        </w:rPr>
        <w:t>asks</w:t>
      </w:r>
      <w:r w:rsidR="0096032E">
        <w:rPr>
          <w:spacing w:val="-3"/>
        </w:rPr>
        <w:t xml:space="preserve"> that</w:t>
      </w:r>
      <w:r w:rsidR="00044609">
        <w:rPr>
          <w:spacing w:val="-3"/>
        </w:rPr>
        <w:t xml:space="preserve"> the Commission declare (a</w:t>
      </w:r>
      <w:r w:rsidRPr="00463FF6">
        <w:rPr>
          <w:spacing w:val="-3"/>
        </w:rPr>
        <w:t xml:space="preserve">) </w:t>
      </w:r>
      <w:r w:rsidR="00711A4B">
        <w:rPr>
          <w:spacing w:val="-3"/>
        </w:rPr>
        <w:t>Heelstone’s rights in its PPAs vested at execution</w:t>
      </w:r>
      <w:r w:rsidR="0026085A">
        <w:rPr>
          <w:spacing w:val="-3"/>
        </w:rPr>
        <w:t>,</w:t>
      </w:r>
      <w:r w:rsidR="00711A4B">
        <w:rPr>
          <w:spacing w:val="-3"/>
        </w:rPr>
        <w:t xml:space="preserve"> prior to the current proceeding,</w:t>
      </w:r>
      <w:r w:rsidR="00044609">
        <w:rPr>
          <w:spacing w:val="-3"/>
        </w:rPr>
        <w:t xml:space="preserve"> (b)</w:t>
      </w:r>
      <w:r w:rsidR="00711A4B">
        <w:rPr>
          <w:spacing w:val="-3"/>
        </w:rPr>
        <w:t xml:space="preserve"> the fixed compensation formula incorporated into its PPAs governs the sale of energy under the Heelstone PPAs, and</w:t>
      </w:r>
      <w:r w:rsidR="00044609">
        <w:rPr>
          <w:spacing w:val="-3"/>
        </w:rPr>
        <w:t xml:space="preserve"> (c)</w:t>
      </w:r>
      <w:r w:rsidR="00711A4B">
        <w:rPr>
          <w:spacing w:val="-3"/>
        </w:rPr>
        <w:t xml:space="preserve"> Heelstone’s compensation pursuant to the Heelstone PPAs is not subject to change based on the outcome of this proceeding</w:t>
      </w:r>
      <w:r w:rsidR="00044609">
        <w:rPr>
          <w:spacing w:val="-3"/>
        </w:rPr>
        <w:t xml:space="preserve">. </w:t>
      </w:r>
      <w:r w:rsidR="00E57C13">
        <w:rPr>
          <w:spacing w:val="-3"/>
        </w:rPr>
        <w:t>Third</w:t>
      </w:r>
      <w:r w:rsidR="00044609">
        <w:rPr>
          <w:spacing w:val="-3"/>
        </w:rPr>
        <w:t>, Heelstone requests</w:t>
      </w:r>
      <w:r w:rsidR="0096032E">
        <w:rPr>
          <w:spacing w:val="-3"/>
        </w:rPr>
        <w:t xml:space="preserve"> a</w:t>
      </w:r>
      <w:r w:rsidR="00044609">
        <w:rPr>
          <w:spacing w:val="-3"/>
        </w:rPr>
        <w:t xml:space="preserve"> Commission declar</w:t>
      </w:r>
      <w:r w:rsidR="0096032E">
        <w:rPr>
          <w:spacing w:val="-3"/>
        </w:rPr>
        <w:t>ation</w:t>
      </w:r>
      <w:r w:rsidR="00044609">
        <w:rPr>
          <w:spacing w:val="-3"/>
        </w:rPr>
        <w:t xml:space="preserve"> that</w:t>
      </w:r>
      <w:r w:rsidRPr="00463FF6">
        <w:rPr>
          <w:spacing w:val="-3"/>
        </w:rPr>
        <w:t xml:space="preserve"> Heelstone complied with all interconnection requirements</w:t>
      </w:r>
      <w:r w:rsidR="00044609">
        <w:rPr>
          <w:spacing w:val="-3"/>
        </w:rPr>
        <w:t xml:space="preserve"> of </w:t>
      </w:r>
      <w:r w:rsidR="00E57C13">
        <w:rPr>
          <w:spacing w:val="-3"/>
        </w:rPr>
        <w:t xml:space="preserve">Section 5.3.2 of </w:t>
      </w:r>
      <w:r w:rsidR="00044609">
        <w:rPr>
          <w:spacing w:val="-3"/>
        </w:rPr>
        <w:t>the Heelstone PPAs</w:t>
      </w:r>
      <w:r w:rsidRPr="00463FF6">
        <w:rPr>
          <w:spacing w:val="-3"/>
        </w:rPr>
        <w:t xml:space="preserve">. </w:t>
      </w:r>
    </w:p>
    <w:p w14:paraId="3CBF15AB" w14:textId="622C4629" w:rsidR="00D409E2" w:rsidRDefault="00D409E2" w:rsidP="00EE67BF">
      <w:pPr>
        <w:pBdr>
          <w:top w:val="nil"/>
          <w:left w:val="nil"/>
          <w:bottom w:val="nil"/>
          <w:right w:val="nil"/>
          <w:between w:val="nil"/>
          <w:bar w:val="nil"/>
        </w:pBdr>
        <w:spacing w:line="480" w:lineRule="auto"/>
        <w:ind w:firstLine="720"/>
        <w:jc w:val="both"/>
      </w:pPr>
      <w:r>
        <w:t>O.C.G.A. § 50-13-11</w:t>
      </w:r>
      <w:r w:rsidRPr="00463FF6">
        <w:rPr>
          <w:rFonts w:ascii="Arial" w:hAnsi="Arial" w:cs="Arial"/>
        </w:rPr>
        <w:t xml:space="preserve"> </w:t>
      </w:r>
      <w:r>
        <w:t>requires</w:t>
      </w:r>
      <w:r w:rsidRPr="00463FF6">
        <w:t xml:space="preserve"> that each agency </w:t>
      </w:r>
      <w:r w:rsidR="005672AC">
        <w:t>“</w:t>
      </w:r>
      <w:r w:rsidRPr="00463FF6">
        <w:t xml:space="preserve">provide by rule for the filing and prompt disposition </w:t>
      </w:r>
      <w:r>
        <w:t>of petitions for</w:t>
      </w:r>
      <w:r w:rsidRPr="00463FF6">
        <w:t xml:space="preserve"> declaratory rulings as </w:t>
      </w:r>
      <w:r w:rsidRPr="00463FF6">
        <w:rPr>
          <w:u w:val="single"/>
        </w:rPr>
        <w:t>to the applicability of any statutory provision</w:t>
      </w:r>
      <w:r w:rsidRPr="00463FF6">
        <w:t xml:space="preserve"> or of </w:t>
      </w:r>
      <w:r w:rsidRPr="00463FF6">
        <w:rPr>
          <w:u w:val="single"/>
        </w:rPr>
        <w:t>any rule</w:t>
      </w:r>
      <w:r w:rsidRPr="00463FF6">
        <w:t xml:space="preserve"> or </w:t>
      </w:r>
      <w:r w:rsidRPr="00463FF6">
        <w:rPr>
          <w:u w:val="single"/>
        </w:rPr>
        <w:t>order of the agency</w:t>
      </w:r>
      <w:r w:rsidRPr="00463FF6">
        <w:t>.</w:t>
      </w:r>
      <w:r w:rsidR="005672AC">
        <w:t>”</w:t>
      </w:r>
      <w:r w:rsidRPr="00463FF6">
        <w:t xml:space="preserve"> </w:t>
      </w:r>
      <w:r w:rsidR="00463FF6" w:rsidRPr="00E57C13">
        <w:t>Pursuant t</w:t>
      </w:r>
      <w:r w:rsidR="00463FF6">
        <w:t xml:space="preserve">o the authority </w:t>
      </w:r>
      <w:r w:rsidR="00C465B1">
        <w:t xml:space="preserve">and directive </w:t>
      </w:r>
      <w:r w:rsidR="00463FF6">
        <w:t>outlined in O.C.G.A. §</w:t>
      </w:r>
      <w:r w:rsidR="00AF5602">
        <w:t> </w:t>
      </w:r>
      <w:r w:rsidR="00463FF6">
        <w:t xml:space="preserve">50-13-11, the Commission promulgated </w:t>
      </w:r>
      <w:r w:rsidR="00463FF6" w:rsidRPr="00463FF6">
        <w:t>GPSC Rule 515-2-1-.12</w:t>
      </w:r>
      <w:r w:rsidR="00463FF6">
        <w:t xml:space="preserve"> </w:t>
      </w:r>
      <w:r w:rsidR="00463FF6" w:rsidRPr="00463FF6">
        <w:t xml:space="preserve">for the filing and prompt </w:t>
      </w:r>
      <w:r w:rsidR="00463FF6" w:rsidRPr="00463FF6">
        <w:lastRenderedPageBreak/>
        <w:t xml:space="preserve">disposition </w:t>
      </w:r>
      <w:r w:rsidR="0096032E">
        <w:t>of</w:t>
      </w:r>
      <w:r w:rsidR="0096032E" w:rsidRPr="00463FF6">
        <w:t xml:space="preserve"> </w:t>
      </w:r>
      <w:r w:rsidR="00463FF6" w:rsidRPr="00463FF6">
        <w:t>declaratory rulings</w:t>
      </w:r>
      <w:r w:rsidR="0087370C">
        <w:t xml:space="preserve"> and</w:t>
      </w:r>
      <w:r w:rsidR="00463FF6">
        <w:t xml:space="preserve"> </w:t>
      </w:r>
      <w:r w:rsidR="00463FF6" w:rsidRPr="00463FF6">
        <w:t xml:space="preserve">requires that petitions for declaratory relief </w:t>
      </w:r>
      <w:r>
        <w:t>include the following:</w:t>
      </w:r>
    </w:p>
    <w:p w14:paraId="07C4EEEA" w14:textId="20290704" w:rsidR="00D409E2" w:rsidRDefault="00D409E2" w:rsidP="00840819">
      <w:pPr>
        <w:pBdr>
          <w:top w:val="nil"/>
          <w:left w:val="nil"/>
          <w:bottom w:val="nil"/>
          <w:right w:val="nil"/>
          <w:between w:val="nil"/>
          <w:bar w:val="nil"/>
        </w:pBdr>
        <w:tabs>
          <w:tab w:val="left" w:pos="1440"/>
        </w:tabs>
        <w:spacing w:line="480" w:lineRule="auto"/>
        <w:ind w:firstLine="720"/>
        <w:jc w:val="both"/>
      </w:pPr>
      <w:r>
        <w:t xml:space="preserve">(a) </w:t>
      </w:r>
      <w:r w:rsidR="00840819">
        <w:tab/>
      </w:r>
      <w:r>
        <w:t xml:space="preserve">The name and post office address of the </w:t>
      </w:r>
      <w:proofErr w:type="gramStart"/>
      <w:r>
        <w:t>petitioner</w:t>
      </w:r>
      <w:r w:rsidR="00840819">
        <w:t>;</w:t>
      </w:r>
      <w:proofErr w:type="gramEnd"/>
    </w:p>
    <w:p w14:paraId="783DC9BB" w14:textId="3ADC3A91" w:rsidR="00840819" w:rsidRDefault="00840819" w:rsidP="00EE67BF">
      <w:pPr>
        <w:pBdr>
          <w:top w:val="nil"/>
          <w:left w:val="nil"/>
          <w:bottom w:val="nil"/>
          <w:right w:val="nil"/>
          <w:between w:val="nil"/>
          <w:bar w:val="nil"/>
        </w:pBdr>
        <w:spacing w:line="480" w:lineRule="auto"/>
        <w:ind w:firstLine="720"/>
        <w:jc w:val="both"/>
      </w:pPr>
      <w:r>
        <w:t xml:space="preserve">(b) </w:t>
      </w:r>
      <w:r>
        <w:tab/>
        <w:t xml:space="preserve">The </w:t>
      </w:r>
      <w:r w:rsidRPr="0026085A">
        <w:rPr>
          <w:u w:val="single"/>
        </w:rPr>
        <w:t>full text</w:t>
      </w:r>
      <w:r>
        <w:t xml:space="preserve"> of the statute, rule</w:t>
      </w:r>
      <w:r w:rsidR="00AF5602">
        <w:t>,</w:t>
      </w:r>
      <w:r>
        <w:t xml:space="preserve"> order upon which a ruling is </w:t>
      </w:r>
      <w:proofErr w:type="gramStart"/>
      <w:r>
        <w:t>requested;</w:t>
      </w:r>
      <w:proofErr w:type="gramEnd"/>
    </w:p>
    <w:p w14:paraId="366879A7" w14:textId="3046423D" w:rsidR="00840819" w:rsidRDefault="00840819" w:rsidP="00840819">
      <w:pPr>
        <w:pBdr>
          <w:top w:val="nil"/>
          <w:left w:val="nil"/>
          <w:bottom w:val="nil"/>
          <w:right w:val="nil"/>
          <w:between w:val="nil"/>
          <w:bar w:val="nil"/>
        </w:pBdr>
        <w:spacing w:line="480" w:lineRule="auto"/>
        <w:ind w:left="1440" w:hanging="720"/>
        <w:jc w:val="both"/>
      </w:pPr>
      <w:r>
        <w:t xml:space="preserve">(c) </w:t>
      </w:r>
      <w:r>
        <w:tab/>
        <w:t xml:space="preserve">A paragraph statement of all pertinent and existing facts necessary to a determination of the applicability of the quoted statute or </w:t>
      </w:r>
      <w:proofErr w:type="gramStart"/>
      <w:r>
        <w:t>rule;</w:t>
      </w:r>
      <w:proofErr w:type="gramEnd"/>
    </w:p>
    <w:p w14:paraId="4B876721" w14:textId="0259FA84" w:rsidR="00840819" w:rsidRDefault="00840819" w:rsidP="00840819">
      <w:pPr>
        <w:pBdr>
          <w:top w:val="nil"/>
          <w:left w:val="nil"/>
          <w:bottom w:val="nil"/>
          <w:right w:val="nil"/>
          <w:between w:val="nil"/>
          <w:bar w:val="nil"/>
        </w:pBdr>
        <w:spacing w:line="480" w:lineRule="auto"/>
        <w:ind w:left="1440" w:hanging="720"/>
        <w:jc w:val="both"/>
      </w:pPr>
      <w:r>
        <w:t xml:space="preserve">(d) </w:t>
      </w:r>
      <w:r>
        <w:tab/>
        <w:t xml:space="preserve">Petitioner’s contention, if any, as to the aforesaid applicability with citations of legal authorities, if any, that authorize, support, or require a decision in accordance therewith; </w:t>
      </w:r>
      <w:r w:rsidR="0087370C">
        <w:t>and</w:t>
      </w:r>
    </w:p>
    <w:p w14:paraId="7358B364" w14:textId="77777777" w:rsidR="0087370C" w:rsidRDefault="00840819" w:rsidP="00840819">
      <w:pPr>
        <w:pBdr>
          <w:top w:val="nil"/>
          <w:left w:val="nil"/>
          <w:bottom w:val="nil"/>
          <w:right w:val="nil"/>
          <w:between w:val="nil"/>
          <w:bar w:val="nil"/>
        </w:pBdr>
        <w:spacing w:line="480" w:lineRule="auto"/>
        <w:ind w:left="1440" w:hanging="720"/>
        <w:jc w:val="both"/>
      </w:pPr>
      <w:r>
        <w:t>(e)</w:t>
      </w:r>
      <w:r>
        <w:tab/>
        <w:t xml:space="preserve">A statement setting forth in detail the petitioner’s interest in the matter </w:t>
      </w:r>
      <w:r w:rsidRPr="00840819">
        <w:rPr>
          <w:u w:val="single"/>
        </w:rPr>
        <w:t>and why and how the petitioner is uncertain or insecure with respect to his rights</w:t>
      </w:r>
      <w:r>
        <w:t xml:space="preserve">. The petition shall be verified under oath by, or in proper behalf of, the petitioner. </w:t>
      </w:r>
    </w:p>
    <w:p w14:paraId="2EF47DA9" w14:textId="1B80CB31" w:rsidR="00840819" w:rsidRDefault="0087370C" w:rsidP="0087370C">
      <w:pPr>
        <w:pBdr>
          <w:top w:val="nil"/>
          <w:left w:val="nil"/>
          <w:bottom w:val="nil"/>
          <w:right w:val="nil"/>
          <w:between w:val="nil"/>
          <w:bar w:val="nil"/>
        </w:pBdr>
        <w:spacing w:line="480" w:lineRule="auto"/>
        <w:ind w:left="720" w:hanging="720"/>
        <w:jc w:val="both"/>
      </w:pPr>
      <w:r w:rsidRPr="00463FF6">
        <w:t>GPSC Rule 515-2-1-.12</w:t>
      </w:r>
      <w:r>
        <w:t xml:space="preserve">(1) </w:t>
      </w:r>
      <w:r w:rsidR="00840819">
        <w:t>(emphasis added)</w:t>
      </w:r>
      <w:r>
        <w:t>.</w:t>
      </w:r>
    </w:p>
    <w:p w14:paraId="1111EFDF" w14:textId="578C85FC" w:rsidR="00463FF6" w:rsidRDefault="004E60AF" w:rsidP="0087370C">
      <w:pPr>
        <w:pBdr>
          <w:top w:val="nil"/>
          <w:left w:val="nil"/>
          <w:bottom w:val="nil"/>
          <w:right w:val="nil"/>
          <w:between w:val="nil"/>
          <w:bar w:val="nil"/>
        </w:pBdr>
        <w:spacing w:line="480" w:lineRule="auto"/>
        <w:ind w:firstLine="720"/>
        <w:jc w:val="both"/>
      </w:pPr>
      <w:r w:rsidRPr="004E60AF">
        <w:t xml:space="preserve">Read together, </w:t>
      </w:r>
      <w:r w:rsidR="0087370C">
        <w:t>O.C.G.A. § 50-13-11</w:t>
      </w:r>
      <w:r w:rsidR="0087370C" w:rsidRPr="00463FF6">
        <w:rPr>
          <w:rFonts w:ascii="Arial" w:hAnsi="Arial" w:cs="Arial"/>
        </w:rPr>
        <w:t xml:space="preserve"> </w:t>
      </w:r>
      <w:r w:rsidR="0087370C" w:rsidRPr="0087370C">
        <w:t xml:space="preserve">and </w:t>
      </w:r>
      <w:r w:rsidR="0087370C" w:rsidRPr="00463FF6">
        <w:t>GPSC Rule 515-2-1-.12</w:t>
      </w:r>
      <w:r w:rsidR="00AF5602">
        <w:t>(1)</w:t>
      </w:r>
      <w:r w:rsidR="0087370C">
        <w:t xml:space="preserve"> </w:t>
      </w:r>
      <w:r w:rsidR="005672AC">
        <w:t xml:space="preserve">set forth the requirements to properly request declaratory relief and the parameters of the Commission’s authority </w:t>
      </w:r>
      <w:r w:rsidR="0096032E">
        <w:t>to grant such relief</w:t>
      </w:r>
      <w:r w:rsidR="005672AC">
        <w:t>.</w:t>
      </w:r>
      <w:r w:rsidR="0073213E">
        <w:t xml:space="preserve"> As explained </w:t>
      </w:r>
      <w:r w:rsidR="0096032E">
        <w:t xml:space="preserve">more fully </w:t>
      </w:r>
      <w:r w:rsidR="0073213E">
        <w:t xml:space="preserve">below, the Commission should </w:t>
      </w:r>
      <w:r w:rsidR="009E6666">
        <w:t xml:space="preserve">dismiss </w:t>
      </w:r>
      <w:r w:rsidR="0073213E">
        <w:t>the Petition for failure to meet the</w:t>
      </w:r>
      <w:r w:rsidR="00AF5602">
        <w:t>se</w:t>
      </w:r>
      <w:r w:rsidR="0073213E">
        <w:t xml:space="preserve"> requirements.</w:t>
      </w:r>
      <w:r w:rsidR="005672AC">
        <w:t xml:space="preserve">  </w:t>
      </w:r>
      <w:r w:rsidRPr="004E60AF">
        <w:t xml:space="preserve"> </w:t>
      </w:r>
    </w:p>
    <w:p w14:paraId="20192F4D" w14:textId="77777777" w:rsidR="006E7B3D" w:rsidRPr="00EE67BF" w:rsidRDefault="006E7B3D" w:rsidP="005672AC">
      <w:pPr>
        <w:pStyle w:val="Heading1"/>
        <w:spacing w:before="240"/>
      </w:pPr>
      <w:r w:rsidRPr="00EE67BF">
        <w:t>ARGUMENT</w:t>
      </w:r>
    </w:p>
    <w:p w14:paraId="078E2AAA" w14:textId="155F1FBA" w:rsidR="004E60AF" w:rsidRPr="00A66AF2" w:rsidRDefault="004E60AF" w:rsidP="004776F3">
      <w:pPr>
        <w:numPr>
          <w:ilvl w:val="0"/>
          <w:numId w:val="12"/>
        </w:numPr>
        <w:pBdr>
          <w:top w:val="nil"/>
          <w:left w:val="nil"/>
          <w:bottom w:val="nil"/>
          <w:right w:val="nil"/>
          <w:between w:val="nil"/>
          <w:bar w:val="nil"/>
        </w:pBdr>
        <w:spacing w:before="240" w:after="240"/>
        <w:ind w:left="1440" w:hanging="720"/>
        <w:jc w:val="both"/>
        <w:rPr>
          <w:b/>
          <w:color w:val="000000"/>
          <w:spacing w:val="-3"/>
          <w:u w:color="000000"/>
          <w:bdr w:val="nil"/>
        </w:rPr>
      </w:pPr>
      <w:r w:rsidRPr="00A66AF2">
        <w:rPr>
          <w:b/>
          <w:color w:val="000000"/>
          <w:spacing w:val="-3"/>
          <w:u w:color="000000"/>
          <w:bdr w:val="nil"/>
        </w:rPr>
        <w:t>The Heelstone Petition is improper and should be dismissed</w:t>
      </w:r>
      <w:r w:rsidR="00C50DA1">
        <w:rPr>
          <w:b/>
          <w:color w:val="000000"/>
          <w:spacing w:val="-3"/>
          <w:u w:color="000000"/>
          <w:bdr w:val="nil"/>
        </w:rPr>
        <w:t xml:space="preserve"> </w:t>
      </w:r>
      <w:r w:rsidR="00086CA4">
        <w:rPr>
          <w:b/>
          <w:color w:val="000000"/>
          <w:spacing w:val="-3"/>
          <w:u w:color="000000"/>
          <w:bdr w:val="nil"/>
        </w:rPr>
        <w:t>for seeking contract interpretation rather than a declaration</w:t>
      </w:r>
      <w:r w:rsidRPr="00A66AF2">
        <w:rPr>
          <w:b/>
          <w:color w:val="000000"/>
          <w:spacing w:val="-3"/>
          <w:u w:color="000000"/>
          <w:bdr w:val="nil"/>
        </w:rPr>
        <w:t xml:space="preserve"> regarding the applicability of a statutory provision</w:t>
      </w:r>
      <w:r w:rsidR="00086CA4">
        <w:rPr>
          <w:b/>
          <w:color w:val="000000"/>
          <w:spacing w:val="-3"/>
          <w:u w:color="000000"/>
          <w:bdr w:val="nil"/>
        </w:rPr>
        <w:t>, rule, or</w:t>
      </w:r>
      <w:r w:rsidRPr="00A66AF2">
        <w:rPr>
          <w:b/>
          <w:color w:val="000000"/>
          <w:spacing w:val="-3"/>
          <w:u w:color="000000"/>
          <w:bdr w:val="nil"/>
        </w:rPr>
        <w:t xml:space="preserve"> order</w:t>
      </w:r>
      <w:r w:rsidR="0036077C">
        <w:rPr>
          <w:b/>
          <w:color w:val="000000"/>
          <w:spacing w:val="-3"/>
          <w:u w:color="000000"/>
          <w:bdr w:val="nil"/>
        </w:rPr>
        <w:t xml:space="preserve"> as required by O.C.G.A. § 50-13-11</w:t>
      </w:r>
      <w:r w:rsidRPr="00A66AF2">
        <w:rPr>
          <w:b/>
          <w:color w:val="000000"/>
          <w:spacing w:val="-3"/>
          <w:u w:color="000000"/>
          <w:bdr w:val="nil"/>
        </w:rPr>
        <w:t xml:space="preserve">. </w:t>
      </w:r>
    </w:p>
    <w:p w14:paraId="20D94185" w14:textId="500478FD" w:rsidR="0019535A" w:rsidRDefault="004E60AF" w:rsidP="0017000C">
      <w:pPr>
        <w:pBdr>
          <w:top w:val="nil"/>
          <w:left w:val="nil"/>
          <w:bottom w:val="nil"/>
          <w:right w:val="nil"/>
          <w:between w:val="nil"/>
          <w:bar w:val="nil"/>
        </w:pBdr>
        <w:spacing w:line="480" w:lineRule="auto"/>
        <w:ind w:firstLine="720"/>
        <w:jc w:val="both"/>
      </w:pPr>
      <w:r w:rsidRPr="004E60AF">
        <w:t xml:space="preserve">The Heelstone Petition </w:t>
      </w:r>
      <w:r w:rsidR="00D308BE">
        <w:t>should be dismissed as</w:t>
      </w:r>
      <w:r w:rsidR="006E0EE7">
        <w:t xml:space="preserve"> an </w:t>
      </w:r>
      <w:r w:rsidR="0096032E">
        <w:t>improper use of a declaratory ruling request</w:t>
      </w:r>
      <w:r w:rsidR="006E0EE7">
        <w:t xml:space="preserve"> to argue contract interpretation.</w:t>
      </w:r>
      <w:r w:rsidRPr="004E60AF">
        <w:t xml:space="preserve"> </w:t>
      </w:r>
      <w:r w:rsidR="0085065B">
        <w:t xml:space="preserve">The Petition </w:t>
      </w:r>
      <w:r w:rsidR="0096032E">
        <w:t>seeks no</w:t>
      </w:r>
      <w:r w:rsidR="0085065B">
        <w:t xml:space="preserve"> declaration </w:t>
      </w:r>
      <w:r w:rsidRPr="004E60AF">
        <w:t xml:space="preserve">regarding the </w:t>
      </w:r>
      <w:r w:rsidRPr="004E60AF">
        <w:lastRenderedPageBreak/>
        <w:t>applicability of a statutory provision</w:t>
      </w:r>
      <w:r w:rsidR="00086CA4">
        <w:t>, rule,</w:t>
      </w:r>
      <w:r w:rsidRPr="004E60AF">
        <w:t xml:space="preserve"> or order of the Commission. </w:t>
      </w:r>
      <w:r w:rsidR="00086CA4">
        <w:t xml:space="preserve">Rather, for each of its three issues, Heelstone asks the Commission to </w:t>
      </w:r>
      <w:r w:rsidR="00E37B4A">
        <w:t>engage in contract interpretation</w:t>
      </w:r>
      <w:r w:rsidR="00086CA4">
        <w:t xml:space="preserve">, which is </w:t>
      </w:r>
      <w:r w:rsidR="00D308BE">
        <w:t xml:space="preserve">not a permissible use of </w:t>
      </w:r>
      <w:r w:rsidR="00086CA4">
        <w:t xml:space="preserve">declaratory relief under Georgia law. </w:t>
      </w:r>
      <w:r w:rsidR="00986625">
        <w:t>None of Heelstone’s three requests for declaratory relief ask the Commission to determine the applicability of its 1994 Final Order or its 2003 Order Approving Standard Contracts. Petition at 10, 12, 16</w:t>
      </w:r>
      <w:r w:rsidR="0090762A">
        <w:t xml:space="preserve">. </w:t>
      </w:r>
      <w:r w:rsidR="00986625">
        <w:t xml:space="preserve">Moreover, the </w:t>
      </w:r>
      <w:r w:rsidR="0017000C">
        <w:t xml:space="preserve">interconnection procedure issues </w:t>
      </w:r>
      <w:r w:rsidR="00155FCC">
        <w:t xml:space="preserve">with </w:t>
      </w:r>
      <w:r w:rsidR="00986625">
        <w:t xml:space="preserve">which </w:t>
      </w:r>
      <w:r w:rsidR="0017000C">
        <w:t xml:space="preserve">Heelstone asks the Commission to declare </w:t>
      </w:r>
      <w:r w:rsidR="00A21CD3">
        <w:t xml:space="preserve">its compliance </w:t>
      </w:r>
      <w:r w:rsidR="006A0855">
        <w:t xml:space="preserve">are not </w:t>
      </w:r>
      <w:r w:rsidR="0017000C">
        <w:t xml:space="preserve">even addressed in the substance of the </w:t>
      </w:r>
      <w:r w:rsidR="006A0855">
        <w:t xml:space="preserve">Commission’s </w:t>
      </w:r>
      <w:r w:rsidR="0017000C">
        <w:t>1994 Final Order or the 2003 Order Approving Standard Contracts.</w:t>
      </w:r>
      <w:r w:rsidR="008273C5">
        <w:t xml:space="preserve"> </w:t>
      </w:r>
      <w:r w:rsidR="000A5D03" w:rsidRPr="000078D1">
        <w:rPr>
          <w:i/>
          <w:iCs/>
        </w:rPr>
        <w:t>See</w:t>
      </w:r>
      <w:r w:rsidR="000A5D03">
        <w:t xml:space="preserve"> </w:t>
      </w:r>
      <w:r w:rsidR="00A21CD3">
        <w:t xml:space="preserve">Final Order, </w:t>
      </w:r>
      <w:r w:rsidR="00A21CD3" w:rsidRPr="00A21CD3">
        <w:rPr>
          <w:i/>
          <w:iCs/>
        </w:rPr>
        <w:t>In Re: Capacity and Energy Payments to Cogenerators under PURPA</w:t>
      </w:r>
      <w:r w:rsidR="00A21CD3" w:rsidRPr="00A21CD3">
        <w:t>, Georgia Pub. Serv. Comm’n, Docket No. 4822 (September 20, 1994) (“1994 Final Order”)</w:t>
      </w:r>
      <w:r w:rsidR="00A21CD3">
        <w:t xml:space="preserve">; Order Approving Standard Contracts, </w:t>
      </w:r>
      <w:r w:rsidR="00A21CD3" w:rsidRPr="00A21CD3">
        <w:rPr>
          <w:i/>
          <w:iCs/>
        </w:rPr>
        <w:t>In Re: Capacity and Energy Payments to Cogenerators under PURPA</w:t>
      </w:r>
      <w:r w:rsidR="00A21CD3" w:rsidRPr="00A21CD3">
        <w:t>, Georgia Pub. Serv. Comm’n, Docket No. 4822</w:t>
      </w:r>
      <w:r w:rsidR="00A21CD3">
        <w:t xml:space="preserve"> (January 21, 2003) (“2003 Order Approving Standard Contracts.”)</w:t>
      </w:r>
      <w:r w:rsidR="00155FCC">
        <w:rPr>
          <w:rStyle w:val="FootnoteReference"/>
        </w:rPr>
        <w:footnoteReference w:id="1"/>
      </w:r>
      <w:r w:rsidR="00155FCC" w:rsidRPr="00A21CD3" w:rsidDel="00155FCC">
        <w:t xml:space="preserve"> </w:t>
      </w:r>
    </w:p>
    <w:p w14:paraId="73E11C26" w14:textId="6A36D28E" w:rsidR="0036077C" w:rsidRPr="002F5EA1" w:rsidRDefault="006A0855" w:rsidP="0017000C">
      <w:pPr>
        <w:pBdr>
          <w:top w:val="nil"/>
          <w:left w:val="nil"/>
          <w:bottom w:val="nil"/>
          <w:right w:val="nil"/>
          <w:between w:val="nil"/>
          <w:bar w:val="nil"/>
        </w:pBdr>
        <w:spacing w:line="480" w:lineRule="auto"/>
        <w:ind w:firstLine="720"/>
        <w:jc w:val="both"/>
      </w:pPr>
      <w:r>
        <w:t>W</w:t>
      </w:r>
      <w:r w:rsidR="0019535A">
        <w:t xml:space="preserve">ithin issue one, Heelstone </w:t>
      </w:r>
      <w:r w:rsidR="0019535A">
        <w:rPr>
          <w:spacing w:val="-3"/>
        </w:rPr>
        <w:t xml:space="preserve">requests that the Commission </w:t>
      </w:r>
      <w:r w:rsidR="0019535A" w:rsidRPr="0019535A">
        <w:rPr>
          <w:i/>
          <w:iCs/>
          <w:spacing w:val="-3"/>
        </w:rPr>
        <w:t>direct</w:t>
      </w:r>
      <w:r w:rsidR="0019535A">
        <w:rPr>
          <w:spacing w:val="-3"/>
        </w:rPr>
        <w:t xml:space="preserve"> Georgia Power to either (i) make available historical price data, or (ii) set a fixed price for compensation for energy delivered under the Heelstone PPAs. </w:t>
      </w:r>
      <w:r w:rsidR="000A5D03">
        <w:rPr>
          <w:spacing w:val="-3"/>
        </w:rPr>
        <w:t xml:space="preserve">A request </w:t>
      </w:r>
      <w:r w:rsidR="0019535A">
        <w:rPr>
          <w:spacing w:val="-3"/>
        </w:rPr>
        <w:t>to direct Georgia Power acti</w:t>
      </w:r>
      <w:r w:rsidR="008E3C4E">
        <w:rPr>
          <w:spacing w:val="-3"/>
        </w:rPr>
        <w:t xml:space="preserve">on clearly extends </w:t>
      </w:r>
      <w:r w:rsidR="000A5D03">
        <w:rPr>
          <w:spacing w:val="-3"/>
        </w:rPr>
        <w:t xml:space="preserve">well </w:t>
      </w:r>
      <w:r w:rsidR="008E3C4E">
        <w:rPr>
          <w:spacing w:val="-3"/>
        </w:rPr>
        <w:t xml:space="preserve">beyond the </w:t>
      </w:r>
      <w:r w:rsidR="000A5D03">
        <w:rPr>
          <w:spacing w:val="-3"/>
        </w:rPr>
        <w:t xml:space="preserve">purpose of </w:t>
      </w:r>
      <w:r w:rsidR="008E3C4E">
        <w:rPr>
          <w:spacing w:val="-3"/>
        </w:rPr>
        <w:t xml:space="preserve">declaratory </w:t>
      </w:r>
      <w:r w:rsidR="0096032E">
        <w:rPr>
          <w:spacing w:val="-3"/>
        </w:rPr>
        <w:t xml:space="preserve">relief </w:t>
      </w:r>
      <w:r w:rsidR="008E3C4E">
        <w:rPr>
          <w:spacing w:val="-3"/>
        </w:rPr>
        <w:t xml:space="preserve">and </w:t>
      </w:r>
      <w:r w:rsidR="00F61A5F">
        <w:rPr>
          <w:spacing w:val="-3"/>
        </w:rPr>
        <w:t xml:space="preserve">certainly </w:t>
      </w:r>
      <w:r w:rsidR="008E3C4E">
        <w:rPr>
          <w:spacing w:val="-3"/>
        </w:rPr>
        <w:t xml:space="preserve">does not pertain to the applicability of Commission rules or orders or </w:t>
      </w:r>
      <w:r w:rsidR="00874181">
        <w:rPr>
          <w:spacing w:val="-3"/>
        </w:rPr>
        <w:t xml:space="preserve">a </w:t>
      </w:r>
      <w:r w:rsidR="008E3C4E">
        <w:rPr>
          <w:spacing w:val="-3"/>
        </w:rPr>
        <w:t xml:space="preserve">statutory provision. Further, Heelstone’s request that the Commission set a fixed price for energy compensation under the Heelstone PPAs </w:t>
      </w:r>
      <w:r w:rsidR="00874181">
        <w:rPr>
          <w:spacing w:val="-3"/>
        </w:rPr>
        <w:t xml:space="preserve">runs contrary </w:t>
      </w:r>
      <w:r w:rsidR="008E3C4E">
        <w:rPr>
          <w:spacing w:val="-3"/>
        </w:rPr>
        <w:t xml:space="preserve">to this Commission’s implementation of PURPA, </w:t>
      </w:r>
      <w:r w:rsidR="00874181">
        <w:rPr>
          <w:spacing w:val="-3"/>
        </w:rPr>
        <w:t xml:space="preserve">as well as </w:t>
      </w:r>
      <w:r w:rsidR="008E3C4E">
        <w:rPr>
          <w:spacing w:val="-3"/>
        </w:rPr>
        <w:t>its adoption of a fixed energy formula in its 1994 Final Order</w:t>
      </w:r>
      <w:r w:rsidR="00874181">
        <w:rPr>
          <w:spacing w:val="-3"/>
        </w:rPr>
        <w:t xml:space="preserve"> and</w:t>
      </w:r>
      <w:r w:rsidR="008E3C4E">
        <w:rPr>
          <w:spacing w:val="-3"/>
        </w:rPr>
        <w:t xml:space="preserve"> the Commission-approved QF Standard Offer Contracts. </w:t>
      </w:r>
      <w:r w:rsidR="009313FD">
        <w:t>Simply put</w:t>
      </w:r>
      <w:r w:rsidR="008273C5">
        <w:t xml:space="preserve">, </w:t>
      </w:r>
      <w:r w:rsidR="007E6B9E">
        <w:t xml:space="preserve">Heelstone’s Petition seeks </w:t>
      </w:r>
      <w:r w:rsidR="007E6B9E">
        <w:lastRenderedPageBreak/>
        <w:t xml:space="preserve">relief that is not declaratory in nature and is not authorized by Georgia law or </w:t>
      </w:r>
      <w:r w:rsidR="008273C5">
        <w:t>t</w:t>
      </w:r>
      <w:r w:rsidR="0017000C">
        <w:t>he Commission</w:t>
      </w:r>
      <w:r w:rsidR="007E6B9E">
        <w:t>’s rules</w:t>
      </w:r>
      <w:r w:rsidR="0017000C">
        <w:t>.</w:t>
      </w:r>
      <w:r>
        <w:t xml:space="preserve"> </w:t>
      </w:r>
      <w:r w:rsidRPr="006A0855">
        <w:t xml:space="preserve">Accordingly, the Commission should </w:t>
      </w:r>
      <w:r w:rsidR="009E6666">
        <w:t>dismiss</w:t>
      </w:r>
      <w:r w:rsidR="009E6666" w:rsidRPr="006A0855">
        <w:t xml:space="preserve"> </w:t>
      </w:r>
      <w:r w:rsidRPr="006A0855">
        <w:t>the Heelstone Petition.</w:t>
      </w:r>
    </w:p>
    <w:p w14:paraId="60B0F43C" w14:textId="109A94BB" w:rsidR="007736B5" w:rsidRDefault="007736B5" w:rsidP="004776F3">
      <w:pPr>
        <w:numPr>
          <w:ilvl w:val="0"/>
          <w:numId w:val="12"/>
        </w:numPr>
        <w:pBdr>
          <w:top w:val="nil"/>
          <w:left w:val="nil"/>
          <w:bottom w:val="nil"/>
          <w:right w:val="nil"/>
          <w:between w:val="nil"/>
          <w:bar w:val="nil"/>
        </w:pBdr>
        <w:spacing w:before="240" w:after="240"/>
        <w:ind w:left="1440" w:hanging="720"/>
        <w:jc w:val="both"/>
        <w:rPr>
          <w:b/>
          <w:color w:val="000000"/>
          <w:spacing w:val="-3"/>
          <w:u w:color="000000"/>
          <w:bdr w:val="nil"/>
        </w:rPr>
      </w:pPr>
      <w:r>
        <w:rPr>
          <w:b/>
          <w:color w:val="000000"/>
          <w:spacing w:val="-3"/>
          <w:u w:color="000000"/>
          <w:bdr w:val="nil"/>
        </w:rPr>
        <w:t xml:space="preserve">The Heelstone Petition fails to </w:t>
      </w:r>
      <w:r w:rsidR="009951AF">
        <w:rPr>
          <w:b/>
          <w:color w:val="000000"/>
          <w:spacing w:val="-3"/>
          <w:u w:color="000000"/>
          <w:bdr w:val="nil"/>
        </w:rPr>
        <w:t xml:space="preserve">meet the procedural requirements </w:t>
      </w:r>
      <w:r w:rsidR="008F45B7">
        <w:rPr>
          <w:b/>
          <w:color w:val="000000"/>
          <w:spacing w:val="-3"/>
          <w:u w:color="000000"/>
          <w:bdr w:val="nil"/>
        </w:rPr>
        <w:t xml:space="preserve">for Declaratory </w:t>
      </w:r>
      <w:r w:rsidR="007E6B9E">
        <w:rPr>
          <w:b/>
          <w:color w:val="000000"/>
          <w:spacing w:val="-3"/>
          <w:u w:color="000000"/>
          <w:bdr w:val="nil"/>
        </w:rPr>
        <w:t xml:space="preserve">Relief </w:t>
      </w:r>
      <w:r w:rsidR="008F45B7">
        <w:rPr>
          <w:b/>
          <w:color w:val="000000"/>
          <w:spacing w:val="-3"/>
          <w:u w:color="000000"/>
          <w:bdr w:val="nil"/>
        </w:rPr>
        <w:t xml:space="preserve">found in </w:t>
      </w:r>
      <w:r w:rsidR="009951AF">
        <w:rPr>
          <w:b/>
          <w:color w:val="000000"/>
          <w:spacing w:val="-3"/>
          <w:u w:color="000000"/>
          <w:bdr w:val="nil"/>
        </w:rPr>
        <w:t xml:space="preserve">GPSC Rule 515-2-1-.12(1). </w:t>
      </w:r>
    </w:p>
    <w:p w14:paraId="675802B6" w14:textId="33CF2308" w:rsidR="00C50376" w:rsidRDefault="009313FD" w:rsidP="0017000C">
      <w:pPr>
        <w:pBdr>
          <w:top w:val="nil"/>
          <w:left w:val="nil"/>
          <w:bottom w:val="nil"/>
          <w:right w:val="nil"/>
          <w:between w:val="nil"/>
          <w:bar w:val="nil"/>
        </w:pBdr>
        <w:spacing w:line="480" w:lineRule="auto"/>
        <w:ind w:firstLine="720"/>
        <w:jc w:val="both"/>
        <w:rPr>
          <w:bCs/>
          <w:color w:val="000000"/>
          <w:spacing w:val="-3"/>
          <w:u w:color="000000"/>
          <w:bdr w:val="nil"/>
        </w:rPr>
      </w:pPr>
      <w:r>
        <w:rPr>
          <w:bCs/>
          <w:color w:val="000000"/>
          <w:spacing w:val="-3"/>
          <w:u w:color="000000"/>
          <w:bdr w:val="nil"/>
        </w:rPr>
        <w:t xml:space="preserve">The </w:t>
      </w:r>
      <w:r w:rsidR="0026085A">
        <w:rPr>
          <w:bCs/>
          <w:color w:val="000000"/>
          <w:spacing w:val="-3"/>
          <w:u w:color="000000"/>
          <w:bdr w:val="nil"/>
        </w:rPr>
        <w:t xml:space="preserve">Heelstone </w:t>
      </w:r>
      <w:r>
        <w:rPr>
          <w:bCs/>
          <w:color w:val="000000"/>
          <w:spacing w:val="-3"/>
          <w:u w:color="000000"/>
          <w:bdr w:val="nil"/>
        </w:rPr>
        <w:t>Petition is procedurally defective as it</w:t>
      </w:r>
      <w:r w:rsidR="00E4147A">
        <w:rPr>
          <w:bCs/>
          <w:color w:val="000000"/>
          <w:spacing w:val="-3"/>
          <w:u w:color="000000"/>
          <w:bdr w:val="nil"/>
        </w:rPr>
        <w:t xml:space="preserve"> fails to comply with </w:t>
      </w:r>
      <w:r w:rsidR="0090762A">
        <w:rPr>
          <w:bCs/>
          <w:color w:val="000000"/>
          <w:spacing w:val="-3"/>
          <w:u w:color="000000"/>
          <w:bdr w:val="nil"/>
        </w:rPr>
        <w:t>three</w:t>
      </w:r>
      <w:r w:rsidR="00E4147A">
        <w:rPr>
          <w:bCs/>
          <w:color w:val="000000"/>
          <w:spacing w:val="-3"/>
          <w:u w:color="000000"/>
          <w:bdr w:val="nil"/>
        </w:rPr>
        <w:t xml:space="preserve"> of the five requirements for a petition for declaratory </w:t>
      </w:r>
      <w:r>
        <w:rPr>
          <w:bCs/>
          <w:color w:val="000000"/>
          <w:spacing w:val="-3"/>
          <w:u w:color="000000"/>
          <w:bdr w:val="nil"/>
        </w:rPr>
        <w:t xml:space="preserve">ruling </w:t>
      </w:r>
      <w:r w:rsidR="00E4147A">
        <w:rPr>
          <w:bCs/>
          <w:color w:val="000000"/>
          <w:spacing w:val="-3"/>
          <w:u w:color="000000"/>
          <w:bdr w:val="nil"/>
        </w:rPr>
        <w:t xml:space="preserve">set forth in </w:t>
      </w:r>
      <w:r w:rsidR="00C50376">
        <w:rPr>
          <w:bCs/>
          <w:color w:val="000000"/>
          <w:spacing w:val="-3"/>
          <w:u w:color="000000"/>
          <w:bdr w:val="nil"/>
        </w:rPr>
        <w:t>GPSC Rule 515-2-1-.12(1)</w:t>
      </w:r>
      <w:r w:rsidR="00E4147A">
        <w:rPr>
          <w:bCs/>
          <w:color w:val="000000"/>
          <w:spacing w:val="-3"/>
          <w:u w:color="000000"/>
          <w:bdr w:val="nil"/>
        </w:rPr>
        <w:t xml:space="preserve">. </w:t>
      </w:r>
      <w:r w:rsidR="00AE4FB6">
        <w:rPr>
          <w:bCs/>
          <w:color w:val="000000"/>
          <w:spacing w:val="-3"/>
          <w:u w:color="000000"/>
          <w:bdr w:val="nil"/>
        </w:rPr>
        <w:t xml:space="preserve">First, </w:t>
      </w:r>
      <w:r w:rsidR="00E4147A">
        <w:rPr>
          <w:bCs/>
          <w:color w:val="000000"/>
          <w:spacing w:val="-3"/>
          <w:u w:color="000000"/>
          <w:bdr w:val="nil"/>
        </w:rPr>
        <w:t xml:space="preserve">Heelstone provided </w:t>
      </w:r>
      <w:r w:rsidR="00E4147A" w:rsidRPr="006A0855">
        <w:rPr>
          <w:bCs/>
          <w:i/>
          <w:iCs/>
          <w:color w:val="000000"/>
          <w:spacing w:val="-3"/>
          <w:u w:color="000000"/>
          <w:bdr w:val="nil"/>
        </w:rPr>
        <w:t>excerpts</w:t>
      </w:r>
      <w:r w:rsidR="00E4147A">
        <w:rPr>
          <w:bCs/>
          <w:color w:val="000000"/>
          <w:spacing w:val="-3"/>
          <w:u w:color="000000"/>
          <w:bdr w:val="nil"/>
        </w:rPr>
        <w:t xml:space="preserve"> of the Orders it claims the </w:t>
      </w:r>
      <w:r w:rsidR="003D4467">
        <w:rPr>
          <w:bCs/>
          <w:color w:val="000000"/>
          <w:spacing w:val="-3"/>
          <w:u w:color="000000"/>
          <w:bdr w:val="nil"/>
        </w:rPr>
        <w:t xml:space="preserve">Commission </w:t>
      </w:r>
      <w:r w:rsidR="006A0855">
        <w:rPr>
          <w:bCs/>
          <w:color w:val="000000"/>
          <w:spacing w:val="-3"/>
          <w:u w:color="000000"/>
          <w:bdr w:val="nil"/>
        </w:rPr>
        <w:t xml:space="preserve">should </w:t>
      </w:r>
      <w:r w:rsidR="003D4467">
        <w:rPr>
          <w:bCs/>
          <w:color w:val="000000"/>
          <w:spacing w:val="-3"/>
          <w:u w:color="000000"/>
          <w:bdr w:val="nil"/>
        </w:rPr>
        <w:t xml:space="preserve">interpret when the Commission’s rule requires the full text. Without the full text of its orders, the Commission does not have </w:t>
      </w:r>
      <w:r w:rsidR="0026085A">
        <w:rPr>
          <w:bCs/>
          <w:color w:val="000000"/>
          <w:spacing w:val="-3"/>
          <w:u w:color="000000"/>
          <w:bdr w:val="nil"/>
        </w:rPr>
        <w:t xml:space="preserve">presented before it </w:t>
      </w:r>
      <w:r w:rsidR="003D4467">
        <w:rPr>
          <w:bCs/>
          <w:color w:val="000000"/>
          <w:spacing w:val="-3"/>
          <w:u w:color="000000"/>
          <w:bdr w:val="nil"/>
        </w:rPr>
        <w:t xml:space="preserve">the full context </w:t>
      </w:r>
      <w:r w:rsidR="00456C2A">
        <w:rPr>
          <w:bCs/>
          <w:color w:val="000000"/>
          <w:spacing w:val="-3"/>
          <w:u w:color="000000"/>
          <w:bdr w:val="nil"/>
        </w:rPr>
        <w:t>or reasoning supporting its prior decision. For example, Heelstone identifies</w:t>
      </w:r>
      <w:r w:rsidR="00A905A0">
        <w:rPr>
          <w:bCs/>
          <w:color w:val="000000"/>
          <w:spacing w:val="-3"/>
          <w:u w:color="000000"/>
          <w:bdr w:val="nil"/>
        </w:rPr>
        <w:t xml:space="preserve"> “utility system lambda” as a critical component of</w:t>
      </w:r>
      <w:r w:rsidR="00456C2A">
        <w:rPr>
          <w:bCs/>
          <w:color w:val="000000"/>
          <w:spacing w:val="-3"/>
          <w:u w:color="000000"/>
          <w:bdr w:val="nil"/>
        </w:rPr>
        <w:t xml:space="preserve"> the avoided energy cost formula components </w:t>
      </w:r>
      <w:r w:rsidR="00AF5602">
        <w:rPr>
          <w:bCs/>
          <w:color w:val="000000"/>
          <w:spacing w:val="-3"/>
          <w:u w:color="000000"/>
          <w:bdr w:val="nil"/>
        </w:rPr>
        <w:t xml:space="preserve">as shown </w:t>
      </w:r>
      <w:r w:rsidR="00456C2A">
        <w:rPr>
          <w:bCs/>
          <w:color w:val="000000"/>
          <w:spacing w:val="-3"/>
          <w:u w:color="000000"/>
          <w:bdr w:val="nil"/>
        </w:rPr>
        <w:t>in equation form</w:t>
      </w:r>
      <w:r w:rsidR="00A905A0">
        <w:rPr>
          <w:bCs/>
          <w:color w:val="000000"/>
          <w:spacing w:val="-3"/>
          <w:u w:color="000000"/>
          <w:bdr w:val="nil"/>
        </w:rPr>
        <w:t xml:space="preserve">, </w:t>
      </w:r>
      <w:r w:rsidR="00456C2A">
        <w:rPr>
          <w:bCs/>
          <w:color w:val="000000"/>
          <w:spacing w:val="-3"/>
          <w:u w:color="000000"/>
          <w:bdr w:val="nil"/>
        </w:rPr>
        <w:t>but ignores the</w:t>
      </w:r>
      <w:r w:rsidR="00A905A0">
        <w:rPr>
          <w:bCs/>
          <w:color w:val="000000"/>
          <w:spacing w:val="-3"/>
          <w:u w:color="000000"/>
          <w:bdr w:val="nil"/>
        </w:rPr>
        <w:t xml:space="preserve"> narrative discussion </w:t>
      </w:r>
      <w:r w:rsidR="00456C2A">
        <w:rPr>
          <w:bCs/>
          <w:color w:val="000000"/>
          <w:spacing w:val="-3"/>
          <w:u w:color="000000"/>
          <w:bdr w:val="nil"/>
        </w:rPr>
        <w:t xml:space="preserve">in the Commission’s </w:t>
      </w:r>
      <w:r w:rsidR="006A0855">
        <w:rPr>
          <w:bCs/>
          <w:color w:val="000000"/>
          <w:spacing w:val="-3"/>
          <w:u w:color="000000"/>
          <w:bdr w:val="nil"/>
        </w:rPr>
        <w:t xml:space="preserve">1994 </w:t>
      </w:r>
      <w:r w:rsidR="00456C2A">
        <w:rPr>
          <w:bCs/>
          <w:color w:val="000000"/>
          <w:spacing w:val="-3"/>
          <w:u w:color="000000"/>
          <w:bdr w:val="nil"/>
        </w:rPr>
        <w:t xml:space="preserve">Final Order </w:t>
      </w:r>
      <w:r w:rsidR="00A905A0">
        <w:rPr>
          <w:bCs/>
          <w:color w:val="000000"/>
          <w:spacing w:val="-3"/>
          <w:u w:color="000000"/>
          <w:bdr w:val="nil"/>
        </w:rPr>
        <w:t xml:space="preserve">about the “territorial system lambda” </w:t>
      </w:r>
      <w:r w:rsidR="00A21CD3">
        <w:rPr>
          <w:bCs/>
          <w:color w:val="000000"/>
          <w:spacing w:val="-3"/>
          <w:u w:color="000000"/>
          <w:bdr w:val="nil"/>
        </w:rPr>
        <w:t xml:space="preserve">actually </w:t>
      </w:r>
      <w:r w:rsidR="00A905A0">
        <w:rPr>
          <w:bCs/>
          <w:color w:val="000000"/>
          <w:spacing w:val="-3"/>
          <w:u w:color="000000"/>
          <w:bdr w:val="nil"/>
        </w:rPr>
        <w:t>used by the Company</w:t>
      </w:r>
      <w:r w:rsidR="00AE4FB6">
        <w:rPr>
          <w:bCs/>
          <w:color w:val="000000"/>
          <w:spacing w:val="-3"/>
          <w:u w:color="000000"/>
          <w:bdr w:val="nil"/>
        </w:rPr>
        <w:t xml:space="preserve"> and approved by the Commission</w:t>
      </w:r>
      <w:r w:rsidR="00A905A0">
        <w:rPr>
          <w:bCs/>
          <w:color w:val="000000"/>
          <w:spacing w:val="-3"/>
          <w:u w:color="000000"/>
          <w:bdr w:val="nil"/>
        </w:rPr>
        <w:t>. Context matters. Cherry picking certain excerpted language fails to meet the</w:t>
      </w:r>
      <w:r w:rsidR="00AE4FB6">
        <w:rPr>
          <w:bCs/>
          <w:color w:val="000000"/>
          <w:spacing w:val="-3"/>
          <w:u w:color="000000"/>
          <w:bdr w:val="nil"/>
        </w:rPr>
        <w:t xml:space="preserve"> requirements of GPSC 515-2-1-.12(1)(</w:t>
      </w:r>
      <w:r w:rsidR="0090762A">
        <w:rPr>
          <w:bCs/>
          <w:color w:val="000000"/>
          <w:spacing w:val="-3"/>
          <w:u w:color="000000"/>
          <w:bdr w:val="nil"/>
        </w:rPr>
        <w:t>b</w:t>
      </w:r>
      <w:r w:rsidR="00AE4FB6">
        <w:rPr>
          <w:bCs/>
          <w:color w:val="000000"/>
          <w:spacing w:val="-3"/>
          <w:u w:color="000000"/>
          <w:bdr w:val="nil"/>
        </w:rPr>
        <w:t xml:space="preserve">), which requires the full </w:t>
      </w:r>
      <w:r w:rsidR="00A905A0">
        <w:rPr>
          <w:bCs/>
          <w:color w:val="000000"/>
          <w:spacing w:val="-3"/>
          <w:u w:color="000000"/>
          <w:bdr w:val="nil"/>
        </w:rPr>
        <w:t xml:space="preserve">text of the Order </w:t>
      </w:r>
      <w:r w:rsidR="00AE4FB6">
        <w:rPr>
          <w:bCs/>
          <w:color w:val="000000"/>
          <w:spacing w:val="-3"/>
          <w:u w:color="000000"/>
          <w:bdr w:val="nil"/>
        </w:rPr>
        <w:t>upon which a ruling is requested.</w:t>
      </w:r>
    </w:p>
    <w:p w14:paraId="64C5820E" w14:textId="638D05F1" w:rsidR="00AE4FB6" w:rsidRDefault="00AE4FB6" w:rsidP="0017000C">
      <w:pPr>
        <w:pBdr>
          <w:top w:val="nil"/>
          <w:left w:val="nil"/>
          <w:bottom w:val="nil"/>
          <w:right w:val="nil"/>
          <w:between w:val="nil"/>
          <w:bar w:val="nil"/>
        </w:pBdr>
        <w:spacing w:line="480" w:lineRule="auto"/>
        <w:ind w:firstLine="720"/>
        <w:jc w:val="both"/>
        <w:rPr>
          <w:bCs/>
          <w:color w:val="000000"/>
          <w:spacing w:val="-3"/>
          <w:u w:color="000000"/>
          <w:bdr w:val="nil"/>
        </w:rPr>
      </w:pPr>
      <w:r>
        <w:rPr>
          <w:bCs/>
          <w:color w:val="000000"/>
          <w:spacing w:val="-3"/>
          <w:u w:color="000000"/>
          <w:bdr w:val="nil"/>
        </w:rPr>
        <w:t xml:space="preserve">Second, Heelstone failed to identify the legal authority supporting </w:t>
      </w:r>
      <w:r w:rsidR="004D235D">
        <w:rPr>
          <w:bCs/>
          <w:color w:val="000000"/>
          <w:spacing w:val="-3"/>
          <w:u w:color="000000"/>
          <w:bdr w:val="nil"/>
        </w:rPr>
        <w:t>its</w:t>
      </w:r>
      <w:r>
        <w:rPr>
          <w:bCs/>
          <w:color w:val="000000"/>
          <w:spacing w:val="-3"/>
          <w:u w:color="000000"/>
          <w:bdr w:val="nil"/>
        </w:rPr>
        <w:t xml:space="preserve"> positions</w:t>
      </w:r>
      <w:r w:rsidR="0090762A">
        <w:rPr>
          <w:bCs/>
          <w:color w:val="000000"/>
          <w:spacing w:val="-3"/>
          <w:u w:color="000000"/>
          <w:bdr w:val="nil"/>
        </w:rPr>
        <w:t xml:space="preserve"> in accordance with GPSC Rule 515-2-1-.12(1)(d).</w:t>
      </w:r>
      <w:r>
        <w:rPr>
          <w:bCs/>
          <w:color w:val="000000"/>
          <w:spacing w:val="-3"/>
          <w:u w:color="000000"/>
          <w:bdr w:val="nil"/>
        </w:rPr>
        <w:t xml:space="preserve"> </w:t>
      </w:r>
      <w:r w:rsidRPr="00EE67BF">
        <w:rPr>
          <w:bCs/>
          <w:color w:val="000000"/>
          <w:spacing w:val="-3"/>
          <w:u w:color="000000"/>
          <w:bdr w:val="nil"/>
        </w:rPr>
        <w:t>Heelstone acknowledges this shortcoming in its Petition by stating that it “will supplement its factual and legal support for Declaratory Relief in its Hearing Brief.”</w:t>
      </w:r>
      <w:r w:rsidR="0090762A">
        <w:rPr>
          <w:bCs/>
          <w:color w:val="000000"/>
          <w:spacing w:val="-3"/>
          <w:u w:color="000000"/>
          <w:bdr w:val="nil"/>
        </w:rPr>
        <w:t xml:space="preserve"> Petition at 4. Although the Commission Rule only requires citation of legal support</w:t>
      </w:r>
      <w:r w:rsidR="004D235D">
        <w:rPr>
          <w:bCs/>
          <w:color w:val="000000"/>
          <w:spacing w:val="-3"/>
          <w:u w:color="000000"/>
          <w:bdr w:val="nil"/>
        </w:rPr>
        <w:t xml:space="preserve"> </w:t>
      </w:r>
      <w:r w:rsidR="0090762A">
        <w:rPr>
          <w:bCs/>
          <w:color w:val="000000"/>
          <w:spacing w:val="-3"/>
          <w:u w:color="000000"/>
          <w:bdr w:val="nil"/>
        </w:rPr>
        <w:t>if any exists, it is clear that any such support must be stated in the Petition</w:t>
      </w:r>
      <w:r w:rsidR="001D17E5">
        <w:rPr>
          <w:bCs/>
          <w:color w:val="000000"/>
          <w:spacing w:val="-3"/>
          <w:u w:color="000000"/>
          <w:bdr w:val="nil"/>
        </w:rPr>
        <w:t xml:space="preserve"> rather than</w:t>
      </w:r>
      <w:r w:rsidR="0090762A">
        <w:rPr>
          <w:bCs/>
          <w:color w:val="000000"/>
          <w:spacing w:val="-3"/>
          <w:u w:color="000000"/>
          <w:bdr w:val="nil"/>
        </w:rPr>
        <w:t xml:space="preserve"> a subsequent filing. </w:t>
      </w:r>
      <w:r w:rsidR="0026085A">
        <w:rPr>
          <w:bCs/>
          <w:color w:val="000000"/>
          <w:spacing w:val="-3"/>
          <w:u w:color="000000"/>
          <w:bdr w:val="nil"/>
        </w:rPr>
        <w:t>The Petition must stand on its own, and here the Heelstone Petition does not.</w:t>
      </w:r>
    </w:p>
    <w:p w14:paraId="0BCCDF49" w14:textId="73E60DD0" w:rsidR="00F04455" w:rsidRPr="00C50376" w:rsidRDefault="0045097E" w:rsidP="0017000C">
      <w:pPr>
        <w:pBdr>
          <w:top w:val="nil"/>
          <w:left w:val="nil"/>
          <w:bottom w:val="nil"/>
          <w:right w:val="nil"/>
          <w:between w:val="nil"/>
          <w:bar w:val="nil"/>
        </w:pBdr>
        <w:spacing w:line="480" w:lineRule="auto"/>
        <w:ind w:firstLine="720"/>
        <w:jc w:val="both"/>
        <w:rPr>
          <w:bCs/>
          <w:color w:val="000000"/>
          <w:spacing w:val="-3"/>
          <w:u w:color="000000"/>
          <w:bdr w:val="nil"/>
        </w:rPr>
      </w:pPr>
      <w:r>
        <w:rPr>
          <w:bCs/>
          <w:color w:val="000000"/>
          <w:spacing w:val="-3"/>
          <w:u w:color="000000"/>
          <w:bdr w:val="nil"/>
        </w:rPr>
        <w:t xml:space="preserve">Third, Heelstone fails to state how or why it is uncertain or insecure with respect to its rights.  Although Heelstone clearly identifies its interests in its QF projects under contract with Georgia </w:t>
      </w:r>
      <w:r>
        <w:rPr>
          <w:bCs/>
          <w:color w:val="000000"/>
          <w:spacing w:val="-3"/>
          <w:u w:color="000000"/>
          <w:bdr w:val="nil"/>
        </w:rPr>
        <w:lastRenderedPageBreak/>
        <w:t xml:space="preserve">Power, it fails to state what is uncertain or insecure with its </w:t>
      </w:r>
      <w:r w:rsidR="004D235D">
        <w:rPr>
          <w:bCs/>
          <w:color w:val="000000"/>
          <w:spacing w:val="-3"/>
          <w:u w:color="000000"/>
          <w:bdr w:val="nil"/>
        </w:rPr>
        <w:t>position</w:t>
      </w:r>
      <w:r>
        <w:rPr>
          <w:bCs/>
          <w:color w:val="000000"/>
          <w:spacing w:val="-3"/>
          <w:u w:color="000000"/>
          <w:bdr w:val="nil"/>
        </w:rPr>
        <w:t xml:space="preserve">. Georgia Power has entered into PPAs </w:t>
      </w:r>
      <w:r w:rsidR="00D67351">
        <w:rPr>
          <w:bCs/>
          <w:color w:val="000000"/>
          <w:spacing w:val="-3"/>
          <w:u w:color="000000"/>
          <w:bdr w:val="nil"/>
        </w:rPr>
        <w:t>to purchase the energy output of each</w:t>
      </w:r>
      <w:r>
        <w:rPr>
          <w:bCs/>
          <w:color w:val="000000"/>
          <w:spacing w:val="-3"/>
          <w:u w:color="000000"/>
          <w:bdr w:val="nil"/>
        </w:rPr>
        <w:t xml:space="preserve"> </w:t>
      </w:r>
      <w:r w:rsidR="00435810">
        <w:rPr>
          <w:bCs/>
          <w:color w:val="000000"/>
          <w:spacing w:val="-3"/>
          <w:u w:color="000000"/>
          <w:bdr w:val="nil"/>
        </w:rPr>
        <w:t>f</w:t>
      </w:r>
      <w:r>
        <w:rPr>
          <w:bCs/>
          <w:color w:val="000000"/>
          <w:spacing w:val="-3"/>
          <w:u w:color="000000"/>
          <w:bdr w:val="nil"/>
        </w:rPr>
        <w:t xml:space="preserve">acility and has </w:t>
      </w:r>
      <w:r w:rsidR="00D67351">
        <w:rPr>
          <w:bCs/>
          <w:color w:val="000000"/>
          <w:spacing w:val="-3"/>
          <w:u w:color="000000"/>
          <w:bdr w:val="nil"/>
        </w:rPr>
        <w:t xml:space="preserve">entered into interconnection agreements (“IA”) with all but one of the </w:t>
      </w:r>
      <w:r w:rsidR="00A54B94">
        <w:rPr>
          <w:bCs/>
          <w:color w:val="000000"/>
          <w:spacing w:val="-3"/>
          <w:u w:color="000000"/>
          <w:bdr w:val="nil"/>
        </w:rPr>
        <w:t>facilities</w:t>
      </w:r>
      <w:r w:rsidR="0026085A">
        <w:rPr>
          <w:bCs/>
          <w:color w:val="000000"/>
          <w:spacing w:val="-3"/>
          <w:u w:color="000000"/>
          <w:bdr w:val="nil"/>
        </w:rPr>
        <w:t xml:space="preserve">, and the last IA is </w:t>
      </w:r>
      <w:r w:rsidR="00D67351">
        <w:rPr>
          <w:bCs/>
          <w:color w:val="000000"/>
          <w:spacing w:val="-3"/>
          <w:u w:color="000000"/>
          <w:bdr w:val="nil"/>
        </w:rPr>
        <w:t xml:space="preserve">pending execution. </w:t>
      </w:r>
      <w:r w:rsidR="00A54B94">
        <w:rPr>
          <w:bCs/>
          <w:color w:val="000000"/>
          <w:spacing w:val="-3"/>
          <w:u w:color="000000"/>
          <w:bdr w:val="nil"/>
        </w:rPr>
        <w:t xml:space="preserve">Heelstone has presented no evidence </w:t>
      </w:r>
      <w:r w:rsidR="001D17E5">
        <w:rPr>
          <w:bCs/>
          <w:color w:val="000000"/>
          <w:spacing w:val="-3"/>
          <w:u w:color="000000"/>
          <w:bdr w:val="nil"/>
        </w:rPr>
        <w:t>showing</w:t>
      </w:r>
      <w:r w:rsidR="00A54B94">
        <w:rPr>
          <w:bCs/>
          <w:color w:val="000000"/>
          <w:spacing w:val="-3"/>
          <w:u w:color="000000"/>
          <w:bdr w:val="nil"/>
        </w:rPr>
        <w:t xml:space="preserve"> that Georgia Power will not honor the </w:t>
      </w:r>
      <w:proofErr w:type="spellStart"/>
      <w:r w:rsidR="00A54B94">
        <w:rPr>
          <w:bCs/>
          <w:color w:val="000000"/>
          <w:spacing w:val="-3"/>
          <w:u w:color="000000"/>
          <w:bdr w:val="nil"/>
        </w:rPr>
        <w:t>Heelstone</w:t>
      </w:r>
      <w:proofErr w:type="spellEnd"/>
      <w:r w:rsidR="00A54B94">
        <w:rPr>
          <w:bCs/>
          <w:color w:val="000000"/>
          <w:spacing w:val="-3"/>
          <w:u w:color="000000"/>
          <w:bdr w:val="nil"/>
        </w:rPr>
        <w:t xml:space="preserve"> </w:t>
      </w:r>
      <w:proofErr w:type="spellStart"/>
      <w:r w:rsidR="00A54B94">
        <w:rPr>
          <w:bCs/>
          <w:color w:val="000000"/>
          <w:spacing w:val="-3"/>
          <w:u w:color="000000"/>
          <w:bdr w:val="nil"/>
        </w:rPr>
        <w:t>PPAs</w:t>
      </w:r>
      <w:proofErr w:type="spellEnd"/>
      <w:r w:rsidR="00A54B94">
        <w:rPr>
          <w:bCs/>
          <w:color w:val="000000"/>
          <w:spacing w:val="-3"/>
          <w:u w:color="000000"/>
          <w:bdr w:val="nil"/>
        </w:rPr>
        <w:t xml:space="preserve"> and </w:t>
      </w:r>
      <w:proofErr w:type="spellStart"/>
      <w:r w:rsidR="00A54B94">
        <w:rPr>
          <w:bCs/>
          <w:color w:val="000000"/>
          <w:spacing w:val="-3"/>
          <w:u w:color="000000"/>
          <w:bdr w:val="nil"/>
        </w:rPr>
        <w:t>IAs</w:t>
      </w:r>
      <w:proofErr w:type="spellEnd"/>
      <w:r w:rsidR="00A54B94">
        <w:rPr>
          <w:bCs/>
          <w:color w:val="000000"/>
          <w:spacing w:val="-3"/>
          <w:u w:color="000000"/>
          <w:bdr w:val="nil"/>
        </w:rPr>
        <w:t>.</w:t>
      </w:r>
      <w:r w:rsidR="00D73FCF">
        <w:rPr>
          <w:bCs/>
          <w:color w:val="000000"/>
          <w:spacing w:val="-3"/>
          <w:u w:color="000000"/>
          <w:bdr w:val="nil"/>
        </w:rPr>
        <w:t xml:space="preserve"> Quite the opposite,</w:t>
      </w:r>
      <w:r w:rsidR="00A54B94">
        <w:rPr>
          <w:bCs/>
          <w:color w:val="000000"/>
          <w:spacing w:val="-3"/>
          <w:u w:color="000000"/>
          <w:bdr w:val="nil"/>
        </w:rPr>
        <w:t xml:space="preserve"> Heelstone will receive what it always expected</w:t>
      </w:r>
      <w:r w:rsidR="00D73FCF">
        <w:rPr>
          <w:bCs/>
          <w:color w:val="000000"/>
          <w:spacing w:val="-3"/>
          <w:u w:color="000000"/>
          <w:bdr w:val="nil"/>
        </w:rPr>
        <w:t xml:space="preserve"> and what it contracted for</w:t>
      </w:r>
      <w:r w:rsidR="00A54B94">
        <w:rPr>
          <w:bCs/>
          <w:color w:val="000000"/>
          <w:spacing w:val="-3"/>
          <w:u w:color="000000"/>
          <w:bdr w:val="nil"/>
        </w:rPr>
        <w:t xml:space="preserve">—a variable, day-ahead energy price and interconnection service through the executed </w:t>
      </w:r>
      <w:proofErr w:type="spellStart"/>
      <w:r w:rsidR="00A54B94">
        <w:rPr>
          <w:bCs/>
          <w:color w:val="000000"/>
          <w:spacing w:val="-3"/>
          <w:u w:color="000000"/>
          <w:bdr w:val="nil"/>
        </w:rPr>
        <w:t>IAs</w:t>
      </w:r>
      <w:proofErr w:type="spellEnd"/>
      <w:r w:rsidR="00A54B94">
        <w:rPr>
          <w:bCs/>
          <w:color w:val="000000"/>
          <w:spacing w:val="-3"/>
          <w:u w:color="000000"/>
          <w:bdr w:val="nil"/>
        </w:rPr>
        <w:t xml:space="preserve">. </w:t>
      </w:r>
      <w:r w:rsidR="00D67351">
        <w:rPr>
          <w:bCs/>
          <w:color w:val="000000"/>
          <w:spacing w:val="-3"/>
          <w:u w:color="000000"/>
          <w:bdr w:val="nil"/>
        </w:rPr>
        <w:t xml:space="preserve">There is no allegation that the facilities </w:t>
      </w:r>
      <w:r w:rsidR="001D17E5">
        <w:rPr>
          <w:bCs/>
          <w:color w:val="000000"/>
          <w:spacing w:val="-3"/>
          <w:u w:color="000000"/>
          <w:bdr w:val="nil"/>
        </w:rPr>
        <w:t>will not be</w:t>
      </w:r>
      <w:r w:rsidR="00D67351">
        <w:rPr>
          <w:bCs/>
          <w:color w:val="000000"/>
          <w:spacing w:val="-3"/>
          <w:u w:color="000000"/>
          <w:bdr w:val="nil"/>
        </w:rPr>
        <w:t xml:space="preserve"> built or that the QFs won’t </w:t>
      </w:r>
      <w:r w:rsidR="001D17E5">
        <w:rPr>
          <w:bCs/>
          <w:color w:val="000000"/>
          <w:spacing w:val="-3"/>
          <w:u w:color="000000"/>
          <w:bdr w:val="nil"/>
        </w:rPr>
        <w:t>receive payment</w:t>
      </w:r>
      <w:r w:rsidR="00D67351">
        <w:rPr>
          <w:bCs/>
          <w:color w:val="000000"/>
          <w:spacing w:val="-3"/>
          <w:u w:color="000000"/>
          <w:bdr w:val="nil"/>
        </w:rPr>
        <w:t xml:space="preserve"> once they deliver energy to the Company. Georgia Power has every intention of complying with the terms of its PPAs and paying each QF pursuant to the formula set forth in Docket No. 4822</w:t>
      </w:r>
      <w:r w:rsidR="004D235D">
        <w:rPr>
          <w:bCs/>
          <w:color w:val="000000"/>
          <w:spacing w:val="-3"/>
          <w:u w:color="000000"/>
          <w:bdr w:val="nil"/>
        </w:rPr>
        <w:t xml:space="preserve"> as provided in the Heelstone PPAs and contemplated in the Commission’s 1994 Final Order</w:t>
      </w:r>
      <w:r w:rsidR="00D67351">
        <w:rPr>
          <w:bCs/>
          <w:color w:val="000000"/>
          <w:spacing w:val="-3"/>
          <w:u w:color="000000"/>
          <w:bdr w:val="nil"/>
        </w:rPr>
        <w:t xml:space="preserve">. Further, Heelstone is a full party to this proceeding and has not </w:t>
      </w:r>
      <w:r w:rsidR="00F04455">
        <w:rPr>
          <w:bCs/>
          <w:color w:val="000000"/>
          <w:spacing w:val="-3"/>
          <w:u w:color="000000"/>
          <w:bdr w:val="nil"/>
        </w:rPr>
        <w:t>alleged</w:t>
      </w:r>
      <w:r w:rsidR="00D67351">
        <w:rPr>
          <w:bCs/>
          <w:color w:val="000000"/>
          <w:spacing w:val="-3"/>
          <w:u w:color="000000"/>
          <w:bdr w:val="nil"/>
        </w:rPr>
        <w:t xml:space="preserve"> that the </w:t>
      </w:r>
      <w:r w:rsidR="00F04455">
        <w:rPr>
          <w:bCs/>
          <w:color w:val="000000"/>
          <w:spacing w:val="-3"/>
          <w:u w:color="000000"/>
          <w:bdr w:val="nil"/>
        </w:rPr>
        <w:t xml:space="preserve">Commission’s </w:t>
      </w:r>
      <w:r w:rsidR="001D17E5">
        <w:rPr>
          <w:bCs/>
          <w:color w:val="000000"/>
          <w:spacing w:val="-3"/>
          <w:u w:color="000000"/>
          <w:bdr w:val="nil"/>
        </w:rPr>
        <w:t xml:space="preserve">resolution </w:t>
      </w:r>
      <w:r w:rsidR="00060E1F">
        <w:rPr>
          <w:bCs/>
          <w:color w:val="000000"/>
          <w:spacing w:val="-3"/>
          <w:u w:color="000000"/>
          <w:bdr w:val="nil"/>
        </w:rPr>
        <w:t xml:space="preserve">of </w:t>
      </w:r>
      <w:r w:rsidR="001D17E5">
        <w:rPr>
          <w:bCs/>
          <w:color w:val="000000"/>
          <w:spacing w:val="-3"/>
          <w:u w:color="000000"/>
          <w:bdr w:val="nil"/>
        </w:rPr>
        <w:t xml:space="preserve">this proceeding </w:t>
      </w:r>
      <w:r w:rsidR="00A54B94">
        <w:rPr>
          <w:bCs/>
          <w:color w:val="000000"/>
          <w:spacing w:val="-3"/>
          <w:u w:color="000000"/>
          <w:bdr w:val="nil"/>
        </w:rPr>
        <w:t xml:space="preserve">will not </w:t>
      </w:r>
      <w:r w:rsidR="004D235D">
        <w:rPr>
          <w:bCs/>
          <w:color w:val="000000"/>
          <w:spacing w:val="-3"/>
          <w:u w:color="000000"/>
          <w:bdr w:val="nil"/>
        </w:rPr>
        <w:t>adequately</w:t>
      </w:r>
      <w:r w:rsidR="00D67351">
        <w:rPr>
          <w:bCs/>
          <w:color w:val="000000"/>
          <w:spacing w:val="-3"/>
          <w:u w:color="000000"/>
          <w:bdr w:val="nil"/>
        </w:rPr>
        <w:t xml:space="preserve"> </w:t>
      </w:r>
      <w:r w:rsidR="00F04455">
        <w:rPr>
          <w:bCs/>
          <w:color w:val="000000"/>
          <w:spacing w:val="-3"/>
          <w:u w:color="000000"/>
          <w:bdr w:val="nil"/>
        </w:rPr>
        <w:t>address its concerns. The Commission should dismiss Heelstone’s Petition for failure to meet three of the five procedural requirements of Commission Rule 515-2-1-.12(1).</w:t>
      </w:r>
    </w:p>
    <w:p w14:paraId="48244683" w14:textId="303342F5" w:rsidR="00A11AB1" w:rsidRPr="00A66AF2" w:rsidRDefault="00A11AB1" w:rsidP="004D235D">
      <w:pPr>
        <w:keepNext/>
        <w:numPr>
          <w:ilvl w:val="0"/>
          <w:numId w:val="12"/>
        </w:numPr>
        <w:pBdr>
          <w:top w:val="nil"/>
          <w:left w:val="nil"/>
          <w:bottom w:val="nil"/>
          <w:right w:val="nil"/>
          <w:between w:val="nil"/>
          <w:bar w:val="nil"/>
        </w:pBdr>
        <w:spacing w:before="240" w:after="240"/>
        <w:ind w:left="1440" w:hanging="720"/>
        <w:jc w:val="both"/>
        <w:rPr>
          <w:b/>
          <w:color w:val="000000"/>
          <w:spacing w:val="-3"/>
          <w:u w:color="000000"/>
          <w:bdr w:val="nil"/>
        </w:rPr>
      </w:pPr>
      <w:r w:rsidRPr="00A66AF2">
        <w:rPr>
          <w:b/>
          <w:color w:val="000000"/>
          <w:spacing w:val="-3"/>
          <w:u w:color="000000"/>
          <w:bdr w:val="nil"/>
        </w:rPr>
        <w:t>Heelstone improperly requests declaratory relief regarding the same issues and arguments currently</w:t>
      </w:r>
      <w:r w:rsidR="00A54B94">
        <w:rPr>
          <w:b/>
          <w:color w:val="000000"/>
          <w:spacing w:val="-3"/>
          <w:u w:color="000000"/>
          <w:bdr w:val="nil"/>
        </w:rPr>
        <w:t xml:space="preserve"> pending</w:t>
      </w:r>
      <w:r w:rsidRPr="00A66AF2">
        <w:rPr>
          <w:b/>
          <w:color w:val="000000"/>
          <w:spacing w:val="-3"/>
          <w:u w:color="000000"/>
          <w:bdr w:val="nil"/>
        </w:rPr>
        <w:t xml:space="preserve"> in this proceeding.  </w:t>
      </w:r>
    </w:p>
    <w:p w14:paraId="4A77EF8B" w14:textId="620A286A" w:rsidR="00A11AB1" w:rsidRPr="003B4782" w:rsidRDefault="00A11AB1" w:rsidP="008273C5">
      <w:pPr>
        <w:keepNext/>
        <w:pBdr>
          <w:top w:val="nil"/>
          <w:left w:val="nil"/>
          <w:bottom w:val="nil"/>
          <w:right w:val="nil"/>
          <w:between w:val="nil"/>
          <w:bar w:val="nil"/>
        </w:pBdr>
        <w:spacing w:line="480" w:lineRule="auto"/>
        <w:ind w:firstLine="720"/>
        <w:jc w:val="both"/>
        <w:rPr>
          <w:bCs/>
          <w:color w:val="000000"/>
          <w:spacing w:val="-3"/>
          <w:u w:color="000000"/>
          <w:bdr w:val="nil"/>
        </w:rPr>
      </w:pPr>
      <w:r w:rsidRPr="00A11AB1">
        <w:rPr>
          <w:bCs/>
          <w:color w:val="000000"/>
          <w:spacing w:val="-3"/>
          <w:u w:color="000000"/>
          <w:bdr w:val="nil"/>
        </w:rPr>
        <w:t xml:space="preserve">Declaratory rulings are improper if </w:t>
      </w:r>
      <w:r w:rsidR="00D57E34">
        <w:rPr>
          <w:bCs/>
          <w:color w:val="000000"/>
          <w:spacing w:val="-3"/>
          <w:u w:color="000000"/>
          <w:bdr w:val="nil"/>
        </w:rPr>
        <w:t xml:space="preserve">there is </w:t>
      </w:r>
      <w:r w:rsidRPr="00A11AB1">
        <w:rPr>
          <w:bCs/>
          <w:color w:val="000000"/>
          <w:spacing w:val="-3"/>
          <w:u w:color="000000"/>
          <w:bdr w:val="nil"/>
        </w:rPr>
        <w:t>pending litigation or other proceeding</w:t>
      </w:r>
      <w:r w:rsidR="0026085A">
        <w:rPr>
          <w:bCs/>
          <w:color w:val="000000"/>
          <w:spacing w:val="-3"/>
          <w:u w:color="000000"/>
          <w:bdr w:val="nil"/>
        </w:rPr>
        <w:t>s</w:t>
      </w:r>
      <w:r w:rsidRPr="00A11AB1">
        <w:rPr>
          <w:bCs/>
          <w:color w:val="000000"/>
          <w:spacing w:val="-3"/>
          <w:u w:color="000000"/>
          <w:bdr w:val="nil"/>
        </w:rPr>
        <w:t xml:space="preserve"> to which the same parties and same issues are involved. </w:t>
      </w:r>
      <w:r w:rsidRPr="00A11AB1">
        <w:rPr>
          <w:bCs/>
          <w:i/>
          <w:iCs/>
          <w:color w:val="000000"/>
          <w:spacing w:val="-3"/>
          <w:u w:color="000000"/>
          <w:bdr w:val="nil"/>
        </w:rPr>
        <w:t xml:space="preserve">Citizens &amp; S. Nat. Bank v. Fulton </w:t>
      </w:r>
      <w:proofErr w:type="spellStart"/>
      <w:r w:rsidRPr="00A11AB1">
        <w:rPr>
          <w:bCs/>
          <w:i/>
          <w:iCs/>
          <w:color w:val="000000"/>
          <w:spacing w:val="-3"/>
          <w:u w:color="000000"/>
          <w:bdr w:val="nil"/>
        </w:rPr>
        <w:t>Cty</w:t>
      </w:r>
      <w:proofErr w:type="spellEnd"/>
      <w:r w:rsidRPr="00A11AB1">
        <w:rPr>
          <w:bCs/>
          <w:i/>
          <w:iCs/>
          <w:color w:val="000000"/>
          <w:spacing w:val="-3"/>
          <w:u w:color="000000"/>
          <w:bdr w:val="nil"/>
        </w:rPr>
        <w:t>.</w:t>
      </w:r>
      <w:r w:rsidRPr="00A11AB1">
        <w:rPr>
          <w:bCs/>
          <w:color w:val="000000"/>
          <w:spacing w:val="-3"/>
          <w:u w:color="000000"/>
          <w:bdr w:val="nil"/>
        </w:rPr>
        <w:t xml:space="preserve">, 123 Ga. App. 323, 325, 180 S.E.2d 905, 907 (1971). </w:t>
      </w:r>
      <w:r w:rsidRPr="00A11AB1">
        <w:rPr>
          <w:bCs/>
          <w:i/>
          <w:iCs/>
          <w:color w:val="000000"/>
          <w:spacing w:val="-3"/>
          <w:u w:color="000000"/>
          <w:bdr w:val="nil"/>
        </w:rPr>
        <w:t>See also</w:t>
      </w:r>
      <w:r w:rsidRPr="00A11AB1">
        <w:rPr>
          <w:bCs/>
          <w:color w:val="000000"/>
          <w:spacing w:val="-3"/>
          <w:u w:color="000000"/>
          <w:bdr w:val="nil"/>
        </w:rPr>
        <w:t xml:space="preserve"> </w:t>
      </w:r>
      <w:r w:rsidRPr="00A11AB1">
        <w:rPr>
          <w:bCs/>
          <w:i/>
          <w:iCs/>
          <w:color w:val="000000"/>
          <w:spacing w:val="-3"/>
          <w:u w:color="000000"/>
          <w:bdr w:val="nil"/>
        </w:rPr>
        <w:t>U.S. Fid. &amp; Guar. Co. v. Watson</w:t>
      </w:r>
      <w:r w:rsidRPr="00A11AB1">
        <w:rPr>
          <w:bCs/>
          <w:color w:val="000000"/>
          <w:spacing w:val="-3"/>
          <w:u w:color="000000"/>
          <w:bdr w:val="nil"/>
        </w:rPr>
        <w:t>, 106 Ga. App. 748, 750, 128 S.E.2d 515, 518 (1962) (Courts will ordinarily refuse to entertain action</w:t>
      </w:r>
      <w:r w:rsidR="001D17E5">
        <w:rPr>
          <w:bCs/>
          <w:color w:val="000000"/>
          <w:spacing w:val="-3"/>
          <w:u w:color="000000"/>
          <w:bdr w:val="nil"/>
        </w:rPr>
        <w:t>s</w:t>
      </w:r>
      <w:r w:rsidRPr="00A11AB1">
        <w:rPr>
          <w:bCs/>
          <w:color w:val="000000"/>
          <w:spacing w:val="-3"/>
          <w:u w:color="000000"/>
          <w:bdr w:val="nil"/>
        </w:rPr>
        <w:t xml:space="preserve"> for declaratory judgment as to questions which are determinable in a pending action or proceeding between the same parties.); </w:t>
      </w:r>
      <w:r w:rsidRPr="00A11AB1">
        <w:rPr>
          <w:bCs/>
          <w:i/>
          <w:iCs/>
          <w:color w:val="000000"/>
          <w:spacing w:val="-3"/>
          <w:u w:color="000000"/>
          <w:bdr w:val="nil"/>
        </w:rPr>
        <w:t>Carter v. State</w:t>
      </w:r>
      <w:r w:rsidRPr="00A11AB1">
        <w:rPr>
          <w:bCs/>
          <w:color w:val="000000"/>
          <w:spacing w:val="-3"/>
          <w:u w:color="000000"/>
          <w:bdr w:val="nil"/>
        </w:rPr>
        <w:t>, 93 Ga. App. 12, 14, 90 S.E.2d 672, 675 (1955)</w:t>
      </w:r>
      <w:r>
        <w:rPr>
          <w:bCs/>
          <w:color w:val="000000"/>
          <w:spacing w:val="-3"/>
          <w:u w:color="000000"/>
          <w:bdr w:val="nil"/>
        </w:rPr>
        <w:t>.</w:t>
      </w:r>
      <w:r w:rsidR="00615EEE">
        <w:rPr>
          <w:bCs/>
          <w:color w:val="000000"/>
          <w:spacing w:val="-3"/>
          <w:u w:color="000000"/>
          <w:bdr w:val="nil"/>
        </w:rPr>
        <w:t xml:space="preserve"> The issues requested for the Commission to “declare”</w:t>
      </w:r>
      <w:r w:rsidR="00E37B4A">
        <w:rPr>
          <w:bCs/>
          <w:color w:val="000000"/>
          <w:spacing w:val="-3"/>
          <w:u w:color="000000"/>
          <w:bdr w:val="nil"/>
        </w:rPr>
        <w:t xml:space="preserve"> in the Petition</w:t>
      </w:r>
      <w:r w:rsidR="00615EEE">
        <w:rPr>
          <w:bCs/>
          <w:color w:val="000000"/>
          <w:spacing w:val="-3"/>
          <w:u w:color="000000"/>
          <w:bdr w:val="nil"/>
        </w:rPr>
        <w:t xml:space="preserve"> are simply a reformatted presentation of the identical issues raised by Heelstone in </w:t>
      </w:r>
      <w:r w:rsidR="00D73FCF">
        <w:rPr>
          <w:bCs/>
          <w:color w:val="000000"/>
          <w:spacing w:val="-3"/>
          <w:u w:color="000000"/>
          <w:bdr w:val="nil"/>
        </w:rPr>
        <w:t>its</w:t>
      </w:r>
      <w:r w:rsidR="00615EEE">
        <w:rPr>
          <w:bCs/>
          <w:color w:val="000000"/>
          <w:spacing w:val="-3"/>
          <w:u w:color="000000"/>
          <w:bdr w:val="nil"/>
        </w:rPr>
        <w:t xml:space="preserve"> rebuttal testimony</w:t>
      </w:r>
      <w:r w:rsidR="00D73FCF">
        <w:rPr>
          <w:bCs/>
          <w:color w:val="000000"/>
          <w:spacing w:val="-3"/>
          <w:u w:color="000000"/>
          <w:bdr w:val="nil"/>
        </w:rPr>
        <w:t xml:space="preserve"> and reiterated in its post-hearing brief</w:t>
      </w:r>
      <w:r w:rsidR="00615EEE">
        <w:rPr>
          <w:bCs/>
          <w:color w:val="000000"/>
          <w:spacing w:val="-3"/>
          <w:u w:color="000000"/>
          <w:bdr w:val="nil"/>
        </w:rPr>
        <w:t xml:space="preserve">. As such, the </w:t>
      </w:r>
      <w:r w:rsidR="00615EEE">
        <w:rPr>
          <w:bCs/>
          <w:color w:val="000000"/>
          <w:spacing w:val="-3"/>
          <w:u w:color="000000"/>
          <w:bdr w:val="nil"/>
        </w:rPr>
        <w:lastRenderedPageBreak/>
        <w:t>Commission should dismiss the Heelstone Petition because its issues are determinable in the underlying proceeding</w:t>
      </w:r>
      <w:r w:rsidR="00A54B94">
        <w:rPr>
          <w:bCs/>
          <w:color w:val="000000"/>
          <w:spacing w:val="-3"/>
          <w:u w:color="000000"/>
          <w:bdr w:val="nil"/>
        </w:rPr>
        <w:t xml:space="preserve">, which is still active and ongoing, and involves </w:t>
      </w:r>
      <w:r w:rsidR="00A304DB">
        <w:rPr>
          <w:bCs/>
          <w:color w:val="000000"/>
          <w:spacing w:val="-3"/>
          <w:u w:color="000000"/>
          <w:bdr w:val="nil"/>
        </w:rPr>
        <w:t xml:space="preserve">the </w:t>
      </w:r>
      <w:r w:rsidR="00E37B4A" w:rsidRPr="003B4782">
        <w:rPr>
          <w:bCs/>
          <w:color w:val="000000"/>
          <w:spacing w:val="-3"/>
          <w:u w:color="000000"/>
          <w:bdr w:val="nil"/>
        </w:rPr>
        <w:t>same issues and parties</w:t>
      </w:r>
      <w:r w:rsidR="00615EEE" w:rsidRPr="003B4782">
        <w:rPr>
          <w:bCs/>
          <w:color w:val="000000"/>
          <w:spacing w:val="-3"/>
          <w:u w:color="000000"/>
          <w:bdr w:val="nil"/>
        </w:rPr>
        <w:t>.</w:t>
      </w:r>
    </w:p>
    <w:p w14:paraId="41CD2E53" w14:textId="1830ED40" w:rsidR="00997781" w:rsidRPr="003B4782" w:rsidRDefault="00941427" w:rsidP="003B4782">
      <w:pPr>
        <w:numPr>
          <w:ilvl w:val="0"/>
          <w:numId w:val="12"/>
        </w:numPr>
        <w:pBdr>
          <w:top w:val="nil"/>
          <w:left w:val="nil"/>
          <w:bottom w:val="nil"/>
          <w:right w:val="nil"/>
          <w:between w:val="nil"/>
          <w:bar w:val="nil"/>
        </w:pBdr>
        <w:spacing w:before="240" w:after="240"/>
        <w:ind w:left="1440" w:hanging="720"/>
        <w:jc w:val="both"/>
        <w:rPr>
          <w:b/>
          <w:color w:val="000000"/>
          <w:spacing w:val="-3"/>
          <w:u w:color="000000"/>
          <w:bdr w:val="nil"/>
        </w:rPr>
      </w:pPr>
      <w:r w:rsidRPr="003B4782">
        <w:rPr>
          <w:b/>
          <w:color w:val="000000"/>
          <w:spacing w:val="-3"/>
          <w:u w:color="000000"/>
          <w:bdr w:val="nil"/>
        </w:rPr>
        <w:t xml:space="preserve">Heelstone </w:t>
      </w:r>
      <w:r w:rsidR="00A304DB">
        <w:rPr>
          <w:b/>
          <w:color w:val="000000"/>
          <w:spacing w:val="-3"/>
          <w:u w:color="000000"/>
          <w:bdr w:val="nil"/>
        </w:rPr>
        <w:t>attempts to take</w:t>
      </w:r>
      <w:r w:rsidRPr="003B4782">
        <w:rPr>
          <w:b/>
          <w:color w:val="000000"/>
          <w:spacing w:val="-3"/>
          <w:u w:color="000000"/>
          <w:bdr w:val="nil"/>
        </w:rPr>
        <w:t xml:space="preserve"> a second bite at the apple, </w:t>
      </w:r>
      <w:r w:rsidR="00957DE6" w:rsidRPr="003B4782">
        <w:rPr>
          <w:b/>
          <w:color w:val="000000"/>
          <w:spacing w:val="-3"/>
          <w:u w:color="000000"/>
          <w:bdr w:val="nil"/>
        </w:rPr>
        <w:t xml:space="preserve">unfairly leveraging </w:t>
      </w:r>
      <w:r w:rsidR="00FD2850" w:rsidRPr="003B4782">
        <w:rPr>
          <w:b/>
          <w:color w:val="000000"/>
          <w:spacing w:val="-3"/>
          <w:u w:color="000000"/>
          <w:bdr w:val="nil"/>
        </w:rPr>
        <w:t>the declaratory ruling process</w:t>
      </w:r>
      <w:r w:rsidRPr="003B4782">
        <w:rPr>
          <w:b/>
          <w:color w:val="000000"/>
          <w:spacing w:val="-3"/>
          <w:u w:color="000000"/>
          <w:bdr w:val="nil"/>
        </w:rPr>
        <w:t xml:space="preserve"> to </w:t>
      </w:r>
      <w:r w:rsidR="007533F9">
        <w:rPr>
          <w:b/>
          <w:color w:val="000000"/>
          <w:spacing w:val="-3"/>
          <w:u w:color="000000"/>
          <w:bdr w:val="nil"/>
        </w:rPr>
        <w:t xml:space="preserve">focus attention on </w:t>
      </w:r>
      <w:r w:rsidRPr="003B4782">
        <w:rPr>
          <w:b/>
          <w:color w:val="000000"/>
          <w:spacing w:val="-3"/>
          <w:u w:color="000000"/>
          <w:bdr w:val="nil"/>
        </w:rPr>
        <w:t xml:space="preserve">its issues </w:t>
      </w:r>
      <w:r w:rsidR="007533F9">
        <w:rPr>
          <w:b/>
          <w:color w:val="000000"/>
          <w:spacing w:val="-3"/>
          <w:u w:color="000000"/>
          <w:bdr w:val="nil"/>
        </w:rPr>
        <w:t>in</w:t>
      </w:r>
      <w:r w:rsidRPr="003B4782">
        <w:rPr>
          <w:b/>
          <w:color w:val="000000"/>
          <w:spacing w:val="-3"/>
          <w:u w:color="000000"/>
          <w:bdr w:val="nil"/>
        </w:rPr>
        <w:t xml:space="preserve"> the underlying proceeding</w:t>
      </w:r>
      <w:r w:rsidR="00064D21" w:rsidRPr="003B4782">
        <w:rPr>
          <w:b/>
          <w:color w:val="000000"/>
          <w:spacing w:val="-3"/>
          <w:u w:color="000000"/>
          <w:bdr w:val="nil"/>
        </w:rPr>
        <w:t xml:space="preserve">. </w:t>
      </w:r>
      <w:r w:rsidR="00997781" w:rsidRPr="003B4782">
        <w:rPr>
          <w:b/>
          <w:color w:val="000000"/>
          <w:spacing w:val="-3"/>
          <w:u w:color="000000"/>
          <w:bdr w:val="nil"/>
        </w:rPr>
        <w:t xml:space="preserve">  </w:t>
      </w:r>
    </w:p>
    <w:p w14:paraId="1AEB740B" w14:textId="3ABD5F79" w:rsidR="00F6469A" w:rsidRPr="00F6469A" w:rsidRDefault="00E37B4A" w:rsidP="00F6469A">
      <w:pPr>
        <w:pBdr>
          <w:top w:val="nil"/>
          <w:left w:val="nil"/>
          <w:bottom w:val="nil"/>
          <w:right w:val="nil"/>
          <w:between w:val="nil"/>
          <w:bar w:val="nil"/>
        </w:pBdr>
        <w:spacing w:line="480" w:lineRule="auto"/>
        <w:ind w:firstLine="720"/>
        <w:jc w:val="both"/>
        <w:rPr>
          <w:bCs/>
          <w:color w:val="000000"/>
          <w:spacing w:val="-3"/>
          <w:u w:color="000000"/>
          <w:bdr w:val="nil"/>
        </w:rPr>
      </w:pPr>
      <w:r w:rsidRPr="00F6469A">
        <w:rPr>
          <w:bCs/>
          <w:color w:val="000000"/>
          <w:spacing w:val="-3"/>
          <w:u w:color="000000"/>
          <w:bdr w:val="nil"/>
        </w:rPr>
        <w:t xml:space="preserve">Heelstone chose to intervene in the present proceeding before this Commission and was granted full party status by virtue of this election. </w:t>
      </w:r>
      <w:r>
        <w:t xml:space="preserve">Heelstone </w:t>
      </w:r>
      <w:r w:rsidR="008273C5">
        <w:t xml:space="preserve">has </w:t>
      </w:r>
      <w:r>
        <w:t xml:space="preserve">fully participated in the case to date. Heelstone provided extensive testimony outlining its concerns with respect to </w:t>
      </w:r>
      <w:r w:rsidR="008273C5">
        <w:t>its</w:t>
      </w:r>
      <w:r>
        <w:t xml:space="preserve"> issues</w:t>
      </w:r>
      <w:r w:rsidR="008273C5">
        <w:t xml:space="preserve"> as impacted by the topics under review</w:t>
      </w:r>
      <w:r>
        <w:t xml:space="preserve"> in this proceeding</w:t>
      </w:r>
      <w:r w:rsidR="007533F9">
        <w:t xml:space="preserve">; </w:t>
      </w:r>
      <w:r>
        <w:t xml:space="preserve">Heelstone’s counsel </w:t>
      </w:r>
      <w:r w:rsidR="007533F9">
        <w:t>cross-examined</w:t>
      </w:r>
      <w:r>
        <w:t xml:space="preserve"> the Company during the two rounds of hearings</w:t>
      </w:r>
      <w:r w:rsidR="007533F9">
        <w:t xml:space="preserve">; </w:t>
      </w:r>
      <w:r>
        <w:t xml:space="preserve">and Heelstone </w:t>
      </w:r>
      <w:r w:rsidR="00F6469A">
        <w:t xml:space="preserve">filed a post-hearing brief in this case. By intervening in this proceeding, Heelstone availed itself of the benefits of party status subject to the process and procedures outlined in the Commission’s PSO. </w:t>
      </w:r>
      <w:r w:rsidR="00FD2850">
        <w:rPr>
          <w:bCs/>
          <w:color w:val="000000"/>
          <w:spacing w:val="-3"/>
          <w:u w:color="000000"/>
          <w:bdr w:val="nil"/>
        </w:rPr>
        <w:t>By</w:t>
      </w:r>
      <w:r w:rsidR="00957DE6">
        <w:rPr>
          <w:bCs/>
          <w:color w:val="000000"/>
          <w:spacing w:val="-3"/>
          <w:u w:color="000000"/>
          <w:bdr w:val="nil"/>
        </w:rPr>
        <w:t xml:space="preserve"> filing the Petition</w:t>
      </w:r>
      <w:r w:rsidR="00F6469A" w:rsidRPr="00F6469A">
        <w:rPr>
          <w:bCs/>
          <w:color w:val="000000"/>
          <w:spacing w:val="-3"/>
          <w:u w:color="000000"/>
          <w:bdr w:val="nil"/>
        </w:rPr>
        <w:t xml:space="preserve"> in advance of briefing</w:t>
      </w:r>
      <w:r w:rsidR="00957DE6">
        <w:rPr>
          <w:bCs/>
          <w:color w:val="000000"/>
          <w:spacing w:val="-3"/>
          <w:u w:color="000000"/>
          <w:bdr w:val="nil"/>
        </w:rPr>
        <w:t xml:space="preserve">, Heelstone </w:t>
      </w:r>
      <w:r w:rsidR="007533F9">
        <w:rPr>
          <w:bCs/>
          <w:color w:val="000000"/>
          <w:spacing w:val="-3"/>
          <w:u w:color="000000"/>
          <w:bdr w:val="nil"/>
        </w:rPr>
        <w:t xml:space="preserve">is trying to circumvent the </w:t>
      </w:r>
      <w:r w:rsidR="00A53106">
        <w:rPr>
          <w:bCs/>
          <w:color w:val="000000"/>
          <w:spacing w:val="-3"/>
          <w:u w:color="000000"/>
          <w:bdr w:val="nil"/>
        </w:rPr>
        <w:t xml:space="preserve">process and procedure this Commission put in place for this </w:t>
      </w:r>
      <w:r w:rsidR="00F6469A" w:rsidRPr="00F6469A">
        <w:rPr>
          <w:bCs/>
          <w:color w:val="000000"/>
          <w:spacing w:val="-3"/>
          <w:u w:color="000000"/>
          <w:bdr w:val="nil"/>
        </w:rPr>
        <w:t xml:space="preserve">proceeding. </w:t>
      </w:r>
      <w:r w:rsidR="00A53106">
        <w:rPr>
          <w:bCs/>
          <w:color w:val="000000"/>
          <w:spacing w:val="-3"/>
          <w:u w:color="000000"/>
          <w:bdr w:val="nil"/>
        </w:rPr>
        <w:t>Moreover</w:t>
      </w:r>
      <w:r w:rsidR="00FD2850">
        <w:rPr>
          <w:bCs/>
          <w:color w:val="000000"/>
          <w:spacing w:val="-3"/>
          <w:u w:color="000000"/>
          <w:bdr w:val="nil"/>
        </w:rPr>
        <w:t xml:space="preserve">, as discussed </w:t>
      </w:r>
      <w:r w:rsidR="00A53106">
        <w:rPr>
          <w:bCs/>
          <w:color w:val="000000"/>
          <w:spacing w:val="-3"/>
          <w:u w:color="000000"/>
          <w:bdr w:val="nil"/>
        </w:rPr>
        <w:t>above</w:t>
      </w:r>
      <w:r w:rsidR="00FD2850">
        <w:rPr>
          <w:bCs/>
          <w:color w:val="000000"/>
          <w:spacing w:val="-3"/>
          <w:u w:color="000000"/>
          <w:bdr w:val="nil"/>
        </w:rPr>
        <w:t xml:space="preserve">, Heelstone has not alleged why the underlying proceeding will not adequately address </w:t>
      </w:r>
      <w:r w:rsidR="00435810">
        <w:rPr>
          <w:bCs/>
          <w:color w:val="000000"/>
          <w:spacing w:val="-3"/>
          <w:u w:color="000000"/>
          <w:bdr w:val="nil"/>
        </w:rPr>
        <w:t>its</w:t>
      </w:r>
      <w:r w:rsidR="00FD2850">
        <w:rPr>
          <w:bCs/>
          <w:color w:val="000000"/>
          <w:spacing w:val="-3"/>
          <w:u w:color="000000"/>
          <w:bdr w:val="nil"/>
        </w:rPr>
        <w:t xml:space="preserve"> issues or why it is uncertain or insecure with regard to its rights. </w:t>
      </w:r>
      <w:r w:rsidR="00957DE6">
        <w:rPr>
          <w:bCs/>
          <w:color w:val="000000"/>
          <w:spacing w:val="-3"/>
          <w:u w:color="000000"/>
          <w:bdr w:val="nil"/>
        </w:rPr>
        <w:t xml:space="preserve">Permitting Heelstone to pursue a second bite at the apple to have </w:t>
      </w:r>
      <w:r w:rsidR="00FD2850">
        <w:rPr>
          <w:bCs/>
          <w:color w:val="000000"/>
          <w:spacing w:val="-3"/>
          <w:u w:color="000000"/>
          <w:bdr w:val="nil"/>
        </w:rPr>
        <w:t>its</w:t>
      </w:r>
      <w:r w:rsidR="00957DE6">
        <w:rPr>
          <w:bCs/>
          <w:color w:val="000000"/>
          <w:spacing w:val="-3"/>
          <w:u w:color="000000"/>
          <w:bdr w:val="nil"/>
        </w:rPr>
        <w:t xml:space="preserve"> issues resolved via a declaratory ruling is not only unnecessary</w:t>
      </w:r>
      <w:r w:rsidR="00A53106">
        <w:rPr>
          <w:bCs/>
          <w:color w:val="000000"/>
          <w:spacing w:val="-3"/>
          <w:u w:color="000000"/>
          <w:bdr w:val="nil"/>
        </w:rPr>
        <w:t xml:space="preserve"> and inefficient</w:t>
      </w:r>
      <w:r w:rsidR="004D235D">
        <w:rPr>
          <w:bCs/>
          <w:color w:val="000000"/>
          <w:spacing w:val="-3"/>
          <w:u w:color="000000"/>
          <w:bdr w:val="nil"/>
        </w:rPr>
        <w:t>,</w:t>
      </w:r>
      <w:r w:rsidR="00957DE6">
        <w:rPr>
          <w:bCs/>
          <w:color w:val="000000"/>
          <w:spacing w:val="-3"/>
          <w:u w:color="000000"/>
          <w:bdr w:val="nil"/>
        </w:rPr>
        <w:t xml:space="preserve"> but also </w:t>
      </w:r>
      <w:r w:rsidR="00A304DB">
        <w:rPr>
          <w:bCs/>
          <w:color w:val="000000"/>
          <w:spacing w:val="-3"/>
          <w:u w:color="000000"/>
          <w:bdr w:val="nil"/>
        </w:rPr>
        <w:t xml:space="preserve">discriminatory and </w:t>
      </w:r>
      <w:r w:rsidR="00957DE6">
        <w:rPr>
          <w:bCs/>
          <w:color w:val="000000"/>
          <w:spacing w:val="-3"/>
          <w:u w:color="000000"/>
          <w:bdr w:val="nil"/>
        </w:rPr>
        <w:t xml:space="preserve">unfair to every other party </w:t>
      </w:r>
      <w:r w:rsidR="00A53106">
        <w:rPr>
          <w:bCs/>
          <w:color w:val="000000"/>
          <w:spacing w:val="-3"/>
          <w:u w:color="000000"/>
          <w:bdr w:val="nil"/>
        </w:rPr>
        <w:t xml:space="preserve">that is abiding </w:t>
      </w:r>
      <w:r w:rsidR="00957DE6">
        <w:rPr>
          <w:bCs/>
          <w:color w:val="000000"/>
          <w:spacing w:val="-3"/>
          <w:u w:color="000000"/>
          <w:bdr w:val="nil"/>
        </w:rPr>
        <w:t>by the process and procedure ordered by the Commission.</w:t>
      </w:r>
    </w:p>
    <w:p w14:paraId="0341D007" w14:textId="603FDC22" w:rsidR="00997781" w:rsidRPr="00463FF6" w:rsidRDefault="00997781" w:rsidP="003B4782">
      <w:pPr>
        <w:pStyle w:val="Heading1"/>
        <w:spacing w:before="240"/>
        <w:rPr>
          <w:bCs/>
          <w:spacing w:val="-3"/>
          <w:u w:val="single"/>
        </w:rPr>
      </w:pPr>
      <w:r w:rsidRPr="00EE67BF">
        <w:t>CONCLUSION</w:t>
      </w:r>
    </w:p>
    <w:p w14:paraId="6CE7BA59" w14:textId="6D40486B" w:rsidR="00F83310" w:rsidRPr="00463FF6" w:rsidRDefault="007935CC" w:rsidP="00165C1C">
      <w:pPr>
        <w:spacing w:line="480" w:lineRule="auto"/>
        <w:ind w:firstLine="720"/>
        <w:jc w:val="both"/>
      </w:pPr>
      <w:r>
        <w:t>For</w:t>
      </w:r>
      <w:r w:rsidR="00957DE6">
        <w:t xml:space="preserve"> each of</w:t>
      </w:r>
      <w:r>
        <w:t xml:space="preserve"> the</w:t>
      </w:r>
      <w:r w:rsidR="000D137C">
        <w:t xml:space="preserve"> foregoing reasons, the Heelstone Petition should be denied. </w:t>
      </w:r>
    </w:p>
    <w:p w14:paraId="164093E4" w14:textId="582B1955" w:rsidR="00997781" w:rsidRPr="00463FF6" w:rsidRDefault="00997781" w:rsidP="0044500A">
      <w:pPr>
        <w:pStyle w:val="BodyText"/>
        <w:keepNext/>
        <w:keepLines/>
        <w:spacing w:line="480" w:lineRule="auto"/>
        <w:contextualSpacing/>
        <w:jc w:val="both"/>
      </w:pPr>
      <w:r w:rsidRPr="00463FF6">
        <w:lastRenderedPageBreak/>
        <w:t>Respectfully submitted, this 22nd day of</w:t>
      </w:r>
      <w:r w:rsidR="00957DE6">
        <w:t xml:space="preserve"> </w:t>
      </w:r>
      <w:r w:rsidR="00FD2850">
        <w:t>February</w:t>
      </w:r>
      <w:r w:rsidR="00957DE6">
        <w:t xml:space="preserve"> 2021</w:t>
      </w:r>
      <w:r w:rsidRPr="00463FF6">
        <w:t>.</w:t>
      </w:r>
    </w:p>
    <w:p w14:paraId="46765FD4" w14:textId="4083164F" w:rsidR="00997781" w:rsidRPr="00463FF6" w:rsidRDefault="00997781" w:rsidP="0044500A">
      <w:pPr>
        <w:keepNext/>
        <w:keepLines/>
        <w:jc w:val="both"/>
      </w:pPr>
    </w:p>
    <w:p w14:paraId="7322A98C" w14:textId="77777777" w:rsidR="00997781" w:rsidRPr="00463FF6" w:rsidRDefault="00997781" w:rsidP="0044500A">
      <w:pPr>
        <w:keepNext/>
        <w:keepLines/>
        <w:jc w:val="both"/>
      </w:pPr>
    </w:p>
    <w:p w14:paraId="4647253A" w14:textId="77777777" w:rsidR="00997781" w:rsidRPr="00463FF6" w:rsidRDefault="00997781" w:rsidP="0044500A">
      <w:pPr>
        <w:keepNext/>
        <w:keepLines/>
        <w:jc w:val="both"/>
        <w:rPr>
          <w:lang w:val="it-IT"/>
        </w:rPr>
      </w:pPr>
    </w:p>
    <w:p w14:paraId="326BFA69" w14:textId="77777777" w:rsidR="00997781" w:rsidRPr="00463FF6" w:rsidRDefault="00997781" w:rsidP="0044500A">
      <w:pPr>
        <w:pStyle w:val="BodyTextIndent3"/>
        <w:keepNext/>
        <w:keepLines/>
        <w:widowControl/>
        <w:ind w:left="5040" w:firstLine="0"/>
        <w:jc w:val="both"/>
        <w:rPr>
          <w:u w:val="single"/>
          <w:lang w:val="it-IT"/>
        </w:rPr>
      </w:pPr>
      <w:r w:rsidRPr="00463FF6">
        <w:rPr>
          <w:u w:val="single"/>
          <w:lang w:val="it-IT"/>
        </w:rPr>
        <w:tab/>
      </w:r>
      <w:r w:rsidRPr="00463FF6">
        <w:rPr>
          <w:u w:val="single"/>
          <w:lang w:val="it-IT"/>
        </w:rPr>
        <w:tab/>
      </w:r>
      <w:r w:rsidRPr="00463FF6">
        <w:rPr>
          <w:u w:val="single"/>
          <w:lang w:val="it-IT"/>
        </w:rPr>
        <w:tab/>
      </w:r>
      <w:r w:rsidRPr="00463FF6">
        <w:rPr>
          <w:u w:val="single"/>
          <w:lang w:val="it-IT"/>
        </w:rPr>
        <w:tab/>
      </w:r>
      <w:r w:rsidRPr="00463FF6">
        <w:rPr>
          <w:u w:val="single"/>
          <w:lang w:val="it-IT"/>
        </w:rPr>
        <w:tab/>
      </w:r>
    </w:p>
    <w:p w14:paraId="07EF1601" w14:textId="77777777" w:rsidR="00997781" w:rsidRPr="00463FF6" w:rsidRDefault="00997781" w:rsidP="0044500A">
      <w:pPr>
        <w:pStyle w:val="BodyTextIndent3"/>
        <w:keepNext/>
        <w:keepLines/>
        <w:widowControl/>
        <w:ind w:left="5040" w:firstLine="0"/>
        <w:jc w:val="both"/>
        <w:rPr>
          <w:lang w:val="it-IT"/>
        </w:rPr>
      </w:pPr>
      <w:r w:rsidRPr="00463FF6">
        <w:rPr>
          <w:lang w:val="it-IT"/>
        </w:rPr>
        <w:t>Steven J. Hewitson</w:t>
      </w:r>
    </w:p>
    <w:p w14:paraId="46C63F1E" w14:textId="45802D30" w:rsidR="00997781" w:rsidRPr="00463FF6" w:rsidRDefault="00997781" w:rsidP="0044500A">
      <w:pPr>
        <w:pStyle w:val="BodyTextIndent3"/>
        <w:keepNext/>
        <w:keepLines/>
        <w:widowControl/>
        <w:ind w:left="5040" w:firstLine="0"/>
        <w:jc w:val="both"/>
      </w:pPr>
      <w:r w:rsidRPr="00463FF6">
        <w:t>Attorney for Georgia Power Company</w:t>
      </w:r>
    </w:p>
    <w:p w14:paraId="3E702A81" w14:textId="77777777" w:rsidR="00997781" w:rsidRPr="00463FF6" w:rsidRDefault="00997781" w:rsidP="0044500A">
      <w:pPr>
        <w:pStyle w:val="BodyTextIndent3"/>
        <w:keepNext/>
        <w:keepLines/>
        <w:widowControl/>
        <w:jc w:val="both"/>
      </w:pPr>
    </w:p>
    <w:p w14:paraId="701B7113" w14:textId="59CDA2BF" w:rsidR="00997781" w:rsidRPr="00957DE6" w:rsidRDefault="00997781" w:rsidP="0044500A">
      <w:pPr>
        <w:pStyle w:val="BodyTextIndent3"/>
        <w:keepNext/>
        <w:keepLines/>
        <w:widowControl/>
        <w:jc w:val="both"/>
      </w:pPr>
      <w:r w:rsidRPr="00957DE6">
        <w:t>TROUTMAN PEPPER</w:t>
      </w:r>
      <w:r w:rsidR="007F0710" w:rsidRPr="00957DE6">
        <w:t xml:space="preserve"> HAMILTON SANDERS</w:t>
      </w:r>
      <w:r w:rsidRPr="00957DE6">
        <w:t>, LLP</w:t>
      </w:r>
    </w:p>
    <w:p w14:paraId="67CDDA6A" w14:textId="77777777" w:rsidR="00997781" w:rsidRPr="00957DE6" w:rsidRDefault="00997781" w:rsidP="0044500A">
      <w:pPr>
        <w:pStyle w:val="BodyTextIndent3"/>
        <w:keepNext/>
        <w:keepLines/>
        <w:widowControl/>
        <w:jc w:val="both"/>
      </w:pPr>
      <w:r w:rsidRPr="00957DE6">
        <w:t>Bank of America Plaza</w:t>
      </w:r>
    </w:p>
    <w:p w14:paraId="5F40FFBB" w14:textId="61526D7E" w:rsidR="00997781" w:rsidRPr="00957DE6" w:rsidRDefault="00997781" w:rsidP="0044500A">
      <w:pPr>
        <w:pStyle w:val="BodyTextIndent3"/>
        <w:keepNext/>
        <w:keepLines/>
        <w:widowControl/>
        <w:jc w:val="both"/>
      </w:pPr>
      <w:r w:rsidRPr="00957DE6">
        <w:t xml:space="preserve">Suite </w:t>
      </w:r>
      <w:r w:rsidR="00941427" w:rsidRPr="00957DE6">
        <w:t>3000</w:t>
      </w:r>
    </w:p>
    <w:p w14:paraId="5B9F8000" w14:textId="77777777" w:rsidR="00997781" w:rsidRPr="00957DE6" w:rsidRDefault="00997781" w:rsidP="0044500A">
      <w:pPr>
        <w:pStyle w:val="BodyTextIndent3"/>
        <w:keepNext/>
        <w:keepLines/>
        <w:widowControl/>
        <w:jc w:val="both"/>
      </w:pPr>
      <w:r w:rsidRPr="00957DE6">
        <w:t>600 Peachtree Street N.E.</w:t>
      </w:r>
    </w:p>
    <w:p w14:paraId="10FE5C64" w14:textId="77777777" w:rsidR="00997781" w:rsidRPr="00957DE6" w:rsidRDefault="00997781" w:rsidP="0044500A">
      <w:pPr>
        <w:pStyle w:val="BodyTextIndent3"/>
        <w:keepNext/>
        <w:keepLines/>
        <w:widowControl/>
        <w:jc w:val="both"/>
      </w:pPr>
      <w:r w:rsidRPr="00957DE6">
        <w:t>Atlanta, GA 30308-2216</w:t>
      </w:r>
    </w:p>
    <w:p w14:paraId="092B1A62" w14:textId="77777777" w:rsidR="00997781" w:rsidRPr="00463FF6" w:rsidRDefault="00997781" w:rsidP="0044500A">
      <w:pPr>
        <w:pStyle w:val="BodyTextIndent3"/>
        <w:keepNext/>
        <w:keepLines/>
        <w:widowControl/>
        <w:jc w:val="both"/>
      </w:pPr>
      <w:r w:rsidRPr="00957DE6">
        <w:t>(404) 885-3000</w:t>
      </w:r>
    </w:p>
    <w:p w14:paraId="559FE1F7" w14:textId="77777777" w:rsidR="00997781" w:rsidRPr="00463FF6" w:rsidRDefault="00997781" w:rsidP="0044500A">
      <w:pPr>
        <w:pStyle w:val="BodyTextIndent3"/>
        <w:widowControl/>
        <w:spacing w:line="480" w:lineRule="auto"/>
        <w:ind w:left="0" w:firstLine="0"/>
        <w:jc w:val="both"/>
      </w:pPr>
    </w:p>
    <w:p w14:paraId="118429B4" w14:textId="77777777" w:rsidR="00997781" w:rsidRPr="00463FF6" w:rsidRDefault="00997781" w:rsidP="0044500A">
      <w:pPr>
        <w:jc w:val="both"/>
      </w:pPr>
    </w:p>
    <w:sectPr w:rsidR="00997781" w:rsidRPr="00463FF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9171D" w14:textId="77777777" w:rsidR="00997781" w:rsidRDefault="00997781" w:rsidP="00997781">
      <w:r>
        <w:separator/>
      </w:r>
    </w:p>
  </w:endnote>
  <w:endnote w:type="continuationSeparator" w:id="0">
    <w:p w14:paraId="7524C26B" w14:textId="77777777" w:rsidR="00997781" w:rsidRDefault="00997781" w:rsidP="0099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9253058"/>
      <w:docPartObj>
        <w:docPartGallery w:val="Page Numbers (Bottom of Page)"/>
        <w:docPartUnique/>
      </w:docPartObj>
    </w:sdtPr>
    <w:sdtEndPr/>
    <w:sdtContent>
      <w:sdt>
        <w:sdtPr>
          <w:id w:val="1728636285"/>
          <w:docPartObj>
            <w:docPartGallery w:val="Page Numbers (Top of Page)"/>
            <w:docPartUnique/>
          </w:docPartObj>
        </w:sdtPr>
        <w:sdtEndPr/>
        <w:sdtContent>
          <w:p w14:paraId="29C8BDEB" w14:textId="77777777" w:rsidR="004D235D" w:rsidRDefault="004D235D">
            <w:pPr>
              <w:pStyle w:val="Footer"/>
              <w:jc w:val="center"/>
            </w:pPr>
          </w:p>
          <w:p w14:paraId="75CBF4E6" w14:textId="5E4C2232" w:rsidR="004D235D" w:rsidRPr="004D235D" w:rsidRDefault="004D235D">
            <w:pPr>
              <w:pStyle w:val="Footer"/>
              <w:jc w:val="center"/>
              <w:rPr>
                <w:sz w:val="20"/>
                <w:szCs w:val="20"/>
              </w:rPr>
            </w:pPr>
            <w:r w:rsidRPr="004D235D">
              <w:rPr>
                <w:sz w:val="20"/>
                <w:szCs w:val="20"/>
              </w:rPr>
              <w:t>Georgia Power Response to Heelstone Petition for Declaratory Order</w:t>
            </w:r>
          </w:p>
          <w:p w14:paraId="25788A8F" w14:textId="06416426" w:rsidR="004D235D" w:rsidRPr="004D235D" w:rsidRDefault="004D235D">
            <w:pPr>
              <w:pStyle w:val="Footer"/>
              <w:jc w:val="center"/>
              <w:rPr>
                <w:sz w:val="20"/>
                <w:szCs w:val="20"/>
              </w:rPr>
            </w:pPr>
            <w:r w:rsidRPr="004D235D">
              <w:rPr>
                <w:sz w:val="20"/>
                <w:szCs w:val="20"/>
              </w:rPr>
              <w:t>Docket No. 4822, 16573, and 19279</w:t>
            </w:r>
          </w:p>
          <w:p w14:paraId="4D55D78E" w14:textId="2BF51FA6" w:rsidR="004D235D" w:rsidRDefault="004D235D">
            <w:pPr>
              <w:pStyle w:val="Footer"/>
              <w:jc w:val="center"/>
            </w:pPr>
            <w:r w:rsidRPr="004D235D">
              <w:rPr>
                <w:sz w:val="20"/>
                <w:szCs w:val="20"/>
              </w:rPr>
              <w:t xml:space="preserve">Page </w:t>
            </w:r>
            <w:r w:rsidRPr="004D235D">
              <w:rPr>
                <w:sz w:val="20"/>
                <w:szCs w:val="20"/>
              </w:rPr>
              <w:fldChar w:fldCharType="begin"/>
            </w:r>
            <w:r w:rsidRPr="004D235D">
              <w:rPr>
                <w:sz w:val="20"/>
                <w:szCs w:val="20"/>
              </w:rPr>
              <w:instrText xml:space="preserve"> PAGE </w:instrText>
            </w:r>
            <w:r w:rsidRPr="004D235D">
              <w:rPr>
                <w:sz w:val="20"/>
                <w:szCs w:val="20"/>
              </w:rPr>
              <w:fldChar w:fldCharType="separate"/>
            </w:r>
            <w:r w:rsidRPr="004D235D">
              <w:rPr>
                <w:noProof/>
                <w:sz w:val="20"/>
                <w:szCs w:val="20"/>
              </w:rPr>
              <w:t>2</w:t>
            </w:r>
            <w:r w:rsidRPr="004D235D">
              <w:rPr>
                <w:sz w:val="20"/>
                <w:szCs w:val="20"/>
              </w:rPr>
              <w:fldChar w:fldCharType="end"/>
            </w:r>
            <w:r w:rsidRPr="004D235D">
              <w:rPr>
                <w:sz w:val="20"/>
                <w:szCs w:val="20"/>
              </w:rPr>
              <w:t xml:space="preserve"> of </w:t>
            </w:r>
            <w:r w:rsidRPr="004D235D">
              <w:rPr>
                <w:sz w:val="20"/>
                <w:szCs w:val="20"/>
              </w:rPr>
              <w:fldChar w:fldCharType="begin"/>
            </w:r>
            <w:r w:rsidRPr="004D235D">
              <w:rPr>
                <w:sz w:val="20"/>
                <w:szCs w:val="20"/>
              </w:rPr>
              <w:instrText xml:space="preserve"> NUMPAGES  </w:instrText>
            </w:r>
            <w:r w:rsidRPr="004D235D">
              <w:rPr>
                <w:sz w:val="20"/>
                <w:szCs w:val="20"/>
              </w:rPr>
              <w:fldChar w:fldCharType="separate"/>
            </w:r>
            <w:r w:rsidRPr="004D235D">
              <w:rPr>
                <w:noProof/>
                <w:sz w:val="20"/>
                <w:szCs w:val="20"/>
              </w:rPr>
              <w:t>2</w:t>
            </w:r>
            <w:r w:rsidRPr="004D235D">
              <w:rPr>
                <w:sz w:val="20"/>
                <w:szCs w:val="20"/>
              </w:rPr>
              <w:fldChar w:fldCharType="end"/>
            </w:r>
          </w:p>
        </w:sdtContent>
      </w:sdt>
    </w:sdtContent>
  </w:sdt>
  <w:p w14:paraId="349FF344" w14:textId="77777777" w:rsidR="004D235D" w:rsidRDefault="004D2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379F8" w14:textId="77777777" w:rsidR="00997781" w:rsidRDefault="00997781" w:rsidP="00997781">
      <w:r>
        <w:separator/>
      </w:r>
    </w:p>
  </w:footnote>
  <w:footnote w:type="continuationSeparator" w:id="0">
    <w:p w14:paraId="3F428D35" w14:textId="77777777" w:rsidR="00997781" w:rsidRDefault="00997781" w:rsidP="00997781">
      <w:r>
        <w:continuationSeparator/>
      </w:r>
    </w:p>
  </w:footnote>
  <w:footnote w:id="1">
    <w:p w14:paraId="31A4952E" w14:textId="3E3D636D" w:rsidR="00155FCC" w:rsidRDefault="00155FCC">
      <w:pPr>
        <w:pStyle w:val="FootnoteText"/>
      </w:pPr>
      <w:r>
        <w:rPr>
          <w:rStyle w:val="FootnoteReference"/>
        </w:rPr>
        <w:footnoteRef/>
      </w:r>
      <w:r>
        <w:t xml:space="preserve"> Notably, the 2003 Order Approving Standard Contracts is a two-page order that simply approves the contracts as filed—leaving nothing to interpret unless, of course, Heelstone is suggesting the Commission should not have approved the QF Standard Offer Contracts in the first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ECD2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BEC5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6A29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226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E3EE3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7623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654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CAAA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9636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C47C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F66EC4"/>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1" w15:restartNumberingAfterBreak="0">
    <w:nsid w:val="2AB47F45"/>
    <w:multiLevelType w:val="hybridMultilevel"/>
    <w:tmpl w:val="8676BCD6"/>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36C82"/>
    <w:multiLevelType w:val="hybridMultilevel"/>
    <w:tmpl w:val="E316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80660E"/>
    <w:multiLevelType w:val="multilevel"/>
    <w:tmpl w:val="D5BC0626"/>
    <w:styleLink w:val="Testimony"/>
    <w:lvl w:ilvl="0">
      <w:numFmt w:val="none"/>
      <w:lvlText w:val="Q."/>
      <w:lvlJc w:val="left"/>
      <w:pPr>
        <w:ind w:left="360" w:hanging="360"/>
      </w:pPr>
      <w:rPr>
        <w:rFonts w:ascii="Times New Roman" w:hAnsi="Times New Roman" w:hint="default"/>
        <w:sz w:val="24"/>
      </w:rPr>
    </w:lvl>
    <w:lvl w:ilvl="1">
      <w:start w:val="1"/>
      <w:numFmt w:val="none"/>
      <w:lvlText w:val="A."/>
      <w:lvlJc w:val="left"/>
      <w:pPr>
        <w:ind w:left="360" w:hanging="360"/>
      </w:pPr>
      <w:rPr>
        <w:rFonts w:hint="default"/>
      </w:rPr>
    </w:lvl>
    <w:lvl w:ilvl="2">
      <w:start w:val="1"/>
      <w:numFmt w:val="none"/>
      <w:lvlText w:val="Q."/>
      <w:lvlJc w:val="left"/>
      <w:pPr>
        <w:ind w:left="0" w:firstLine="0"/>
      </w:pPr>
      <w:rPr>
        <w:rFonts w:ascii="Times New Roman" w:hAnsi="Times New Roman" w:hint="default"/>
        <w:sz w:val="24"/>
      </w:rPr>
    </w:lvl>
    <w:lvl w:ilvl="3">
      <w:start w:val="1"/>
      <w:numFmt w:val="none"/>
      <w:lvlText w:val="A."/>
      <w:lvlJc w:val="left"/>
      <w:pPr>
        <w:ind w:left="0" w:firstLine="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14" w15:restartNumberingAfterBreak="0">
    <w:nsid w:val="5931675B"/>
    <w:multiLevelType w:val="hybridMultilevel"/>
    <w:tmpl w:val="C5EEB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3511B6"/>
    <w:multiLevelType w:val="hybridMultilevel"/>
    <w:tmpl w:val="4B3493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FD67F4D"/>
    <w:multiLevelType w:val="hybridMultilevel"/>
    <w:tmpl w:val="509CDAB2"/>
    <w:lvl w:ilvl="0" w:tplc="0409000F">
      <w:start w:val="1"/>
      <w:numFmt w:val="decimal"/>
      <w:lvlText w:val="%1."/>
      <w:lvlJc w:val="left"/>
      <w:pPr>
        <w:ind w:left="450" w:hanging="360"/>
      </w:pPr>
    </w:lvl>
    <w:lvl w:ilvl="1" w:tplc="04090015">
      <w:start w:val="1"/>
      <w:numFmt w:val="upperLetter"/>
      <w:lvlText w:val="%2."/>
      <w:lvlJc w:val="left"/>
      <w:pPr>
        <w:ind w:left="900" w:hanging="360"/>
      </w:pPr>
    </w:lvl>
    <w:lvl w:ilvl="2" w:tplc="0409001B">
      <w:start w:val="1"/>
      <w:numFmt w:val="lowerRoman"/>
      <w:lvlText w:val="%3."/>
      <w:lvlJc w:val="right"/>
      <w:pPr>
        <w:ind w:left="117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6"/>
  </w:num>
  <w:num w:numId="15">
    <w:abstractNumId w:val="10"/>
  </w:num>
  <w:num w:numId="16">
    <w:abstractNumId w:val="10"/>
  </w:num>
  <w:num w:numId="17">
    <w:abstractNumId w:val="10"/>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3432101"/>
    <w:docVar w:name="MPDocIDTemplate" w:val="%l| %n|v%v| %c|.%m"/>
    <w:docVar w:name="MPDocIDTemplateDefault" w:val="%l| %n|v%v| %c|.%m"/>
    <w:docVar w:name="NewDocStampType" w:val="7"/>
    <w:docVar w:name="zzmpLegacyTrailerRemovedNew" w:val="True"/>
    <w:docVar w:name="zzmpTrailerDateFormat" w:val="0"/>
  </w:docVars>
  <w:rsids>
    <w:rsidRoot w:val="00997781"/>
    <w:rsid w:val="0000278E"/>
    <w:rsid w:val="000033B7"/>
    <w:rsid w:val="000078D1"/>
    <w:rsid w:val="00044609"/>
    <w:rsid w:val="00054295"/>
    <w:rsid w:val="0005498E"/>
    <w:rsid w:val="00060805"/>
    <w:rsid w:val="00060E1F"/>
    <w:rsid w:val="00064D21"/>
    <w:rsid w:val="000840FC"/>
    <w:rsid w:val="00086CA4"/>
    <w:rsid w:val="00095217"/>
    <w:rsid w:val="000A0BCD"/>
    <w:rsid w:val="000A0DB9"/>
    <w:rsid w:val="000A5D03"/>
    <w:rsid w:val="000D137C"/>
    <w:rsid w:val="00101260"/>
    <w:rsid w:val="00103C69"/>
    <w:rsid w:val="00144C49"/>
    <w:rsid w:val="00155FCC"/>
    <w:rsid w:val="00165C1C"/>
    <w:rsid w:val="0017000C"/>
    <w:rsid w:val="0017389C"/>
    <w:rsid w:val="00190261"/>
    <w:rsid w:val="0019535A"/>
    <w:rsid w:val="0019705F"/>
    <w:rsid w:val="001B2E7C"/>
    <w:rsid w:val="001B62C3"/>
    <w:rsid w:val="001C09F5"/>
    <w:rsid w:val="001C5106"/>
    <w:rsid w:val="001D045B"/>
    <w:rsid w:val="001D17E5"/>
    <w:rsid w:val="001F49CD"/>
    <w:rsid w:val="00214534"/>
    <w:rsid w:val="00222915"/>
    <w:rsid w:val="0026085A"/>
    <w:rsid w:val="002759DD"/>
    <w:rsid w:val="002D2A15"/>
    <w:rsid w:val="002F5EA1"/>
    <w:rsid w:val="00312724"/>
    <w:rsid w:val="00327465"/>
    <w:rsid w:val="0033453B"/>
    <w:rsid w:val="0036077C"/>
    <w:rsid w:val="00361769"/>
    <w:rsid w:val="0036205A"/>
    <w:rsid w:val="00381925"/>
    <w:rsid w:val="003B4782"/>
    <w:rsid w:val="003B76C0"/>
    <w:rsid w:val="003D405C"/>
    <w:rsid w:val="003D4467"/>
    <w:rsid w:val="003E2909"/>
    <w:rsid w:val="003F5EE0"/>
    <w:rsid w:val="004114EF"/>
    <w:rsid w:val="00435810"/>
    <w:rsid w:val="0044500A"/>
    <w:rsid w:val="0045097E"/>
    <w:rsid w:val="00456C2A"/>
    <w:rsid w:val="00463FF6"/>
    <w:rsid w:val="00473C3C"/>
    <w:rsid w:val="004776F3"/>
    <w:rsid w:val="004A7469"/>
    <w:rsid w:val="004C2191"/>
    <w:rsid w:val="004D17D0"/>
    <w:rsid w:val="004D235D"/>
    <w:rsid w:val="004E60AF"/>
    <w:rsid w:val="004F59BE"/>
    <w:rsid w:val="005570EB"/>
    <w:rsid w:val="005672AC"/>
    <w:rsid w:val="005903BA"/>
    <w:rsid w:val="005A68B9"/>
    <w:rsid w:val="005D0939"/>
    <w:rsid w:val="00615EEE"/>
    <w:rsid w:val="00643438"/>
    <w:rsid w:val="00672290"/>
    <w:rsid w:val="006A0855"/>
    <w:rsid w:val="006B486A"/>
    <w:rsid w:val="006D78D3"/>
    <w:rsid w:val="006E0EE7"/>
    <w:rsid w:val="006E7B3D"/>
    <w:rsid w:val="006F78A2"/>
    <w:rsid w:val="00711A4B"/>
    <w:rsid w:val="0073213E"/>
    <w:rsid w:val="007533F9"/>
    <w:rsid w:val="00764A46"/>
    <w:rsid w:val="007736B5"/>
    <w:rsid w:val="007759ED"/>
    <w:rsid w:val="007935CC"/>
    <w:rsid w:val="007E2040"/>
    <w:rsid w:val="007E6B9E"/>
    <w:rsid w:val="007F0710"/>
    <w:rsid w:val="007F54BB"/>
    <w:rsid w:val="007F5D4E"/>
    <w:rsid w:val="00811FDB"/>
    <w:rsid w:val="00812349"/>
    <w:rsid w:val="008273C5"/>
    <w:rsid w:val="00830779"/>
    <w:rsid w:val="00840819"/>
    <w:rsid w:val="0085065B"/>
    <w:rsid w:val="0087370C"/>
    <w:rsid w:val="00874181"/>
    <w:rsid w:val="00883CEA"/>
    <w:rsid w:val="008B712D"/>
    <w:rsid w:val="008E3C4E"/>
    <w:rsid w:val="008F45B7"/>
    <w:rsid w:val="0090762A"/>
    <w:rsid w:val="009313FD"/>
    <w:rsid w:val="0093149C"/>
    <w:rsid w:val="00941427"/>
    <w:rsid w:val="00957DE6"/>
    <w:rsid w:val="0096032E"/>
    <w:rsid w:val="00984F04"/>
    <w:rsid w:val="00986625"/>
    <w:rsid w:val="009951AF"/>
    <w:rsid w:val="00997781"/>
    <w:rsid w:val="009B682C"/>
    <w:rsid w:val="009C48A1"/>
    <w:rsid w:val="009E21B8"/>
    <w:rsid w:val="009E6666"/>
    <w:rsid w:val="009F0A36"/>
    <w:rsid w:val="00A11AB1"/>
    <w:rsid w:val="00A21CD3"/>
    <w:rsid w:val="00A304DB"/>
    <w:rsid w:val="00A53106"/>
    <w:rsid w:val="00A54B94"/>
    <w:rsid w:val="00A57C19"/>
    <w:rsid w:val="00A66AF2"/>
    <w:rsid w:val="00A740E2"/>
    <w:rsid w:val="00A77C4E"/>
    <w:rsid w:val="00A905A0"/>
    <w:rsid w:val="00AC28A2"/>
    <w:rsid w:val="00AD3878"/>
    <w:rsid w:val="00AE4FB6"/>
    <w:rsid w:val="00AF5602"/>
    <w:rsid w:val="00BE3770"/>
    <w:rsid w:val="00C169B3"/>
    <w:rsid w:val="00C3752A"/>
    <w:rsid w:val="00C37D9C"/>
    <w:rsid w:val="00C465B1"/>
    <w:rsid w:val="00C50376"/>
    <w:rsid w:val="00C50DA1"/>
    <w:rsid w:val="00C77128"/>
    <w:rsid w:val="00CE7B40"/>
    <w:rsid w:val="00D15234"/>
    <w:rsid w:val="00D308BE"/>
    <w:rsid w:val="00D36AA5"/>
    <w:rsid w:val="00D409E2"/>
    <w:rsid w:val="00D57E34"/>
    <w:rsid w:val="00D652CC"/>
    <w:rsid w:val="00D67351"/>
    <w:rsid w:val="00D70AC6"/>
    <w:rsid w:val="00D73FCF"/>
    <w:rsid w:val="00D8396F"/>
    <w:rsid w:val="00D939DE"/>
    <w:rsid w:val="00DC39C7"/>
    <w:rsid w:val="00E32B8C"/>
    <w:rsid w:val="00E33F1F"/>
    <w:rsid w:val="00E37B4A"/>
    <w:rsid w:val="00E37C96"/>
    <w:rsid w:val="00E4147A"/>
    <w:rsid w:val="00E4389C"/>
    <w:rsid w:val="00E57C13"/>
    <w:rsid w:val="00E65D63"/>
    <w:rsid w:val="00E84145"/>
    <w:rsid w:val="00ED7F1E"/>
    <w:rsid w:val="00EE67BF"/>
    <w:rsid w:val="00EF5038"/>
    <w:rsid w:val="00F04455"/>
    <w:rsid w:val="00F23500"/>
    <w:rsid w:val="00F42187"/>
    <w:rsid w:val="00F61A5F"/>
    <w:rsid w:val="00F6469A"/>
    <w:rsid w:val="00F83310"/>
    <w:rsid w:val="00FB2D6C"/>
    <w:rsid w:val="00FB5EF1"/>
    <w:rsid w:val="00FC0EC1"/>
    <w:rsid w:val="00FD2850"/>
    <w:rsid w:val="00FE4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CF35D"/>
  <w15:chartTrackingRefBased/>
  <w15:docId w15:val="{F48DFE12-0B27-4E23-AFDC-C3639AEC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C4E"/>
    <w:pPr>
      <w:spacing w:after="0"/>
    </w:pPr>
    <w:rPr>
      <w:rFonts w:cs="Times New Roman"/>
    </w:rPr>
  </w:style>
  <w:style w:type="paragraph" w:styleId="Heading1">
    <w:name w:val="heading 1"/>
    <w:basedOn w:val="Normal"/>
    <w:next w:val="SSBodyText"/>
    <w:link w:val="Heading1Char"/>
    <w:uiPriority w:val="9"/>
    <w:rsid w:val="00F83310"/>
    <w:pPr>
      <w:keepNext/>
      <w:keepLines/>
      <w:numPr>
        <w:numId w:val="15"/>
      </w:numPr>
      <w:spacing w:after="240"/>
      <w:outlineLvl w:val="0"/>
    </w:pPr>
    <w:rPr>
      <w:rFonts w:eastAsiaTheme="majorEastAsia" w:cstheme="majorBidi"/>
      <w:b/>
      <w:szCs w:val="32"/>
    </w:rPr>
  </w:style>
  <w:style w:type="paragraph" w:styleId="Heading2">
    <w:name w:val="heading 2"/>
    <w:basedOn w:val="Normal"/>
    <w:next w:val="SSBodyText"/>
    <w:link w:val="Heading2Char"/>
    <w:uiPriority w:val="9"/>
    <w:rsid w:val="00F83310"/>
    <w:pPr>
      <w:keepNext/>
      <w:keepLines/>
      <w:numPr>
        <w:ilvl w:val="1"/>
        <w:numId w:val="15"/>
      </w:numPr>
      <w:spacing w:after="240"/>
      <w:outlineLvl w:val="1"/>
    </w:pPr>
    <w:rPr>
      <w:rFonts w:eastAsiaTheme="majorEastAsia" w:cstheme="majorBidi"/>
      <w:b/>
      <w:szCs w:val="26"/>
    </w:rPr>
  </w:style>
  <w:style w:type="paragraph" w:styleId="Heading3">
    <w:name w:val="heading 3"/>
    <w:basedOn w:val="Normal"/>
    <w:next w:val="SSBodyText"/>
    <w:link w:val="Heading3Char"/>
    <w:uiPriority w:val="9"/>
    <w:rsid w:val="00F83310"/>
    <w:pPr>
      <w:keepNext/>
      <w:keepLines/>
      <w:numPr>
        <w:ilvl w:val="2"/>
        <w:numId w:val="15"/>
      </w:numPr>
      <w:spacing w:after="240"/>
      <w:outlineLvl w:val="2"/>
    </w:pPr>
    <w:rPr>
      <w:rFonts w:eastAsiaTheme="majorEastAsia" w:cstheme="majorBidi"/>
    </w:rPr>
  </w:style>
  <w:style w:type="paragraph" w:styleId="Heading4">
    <w:name w:val="heading 4"/>
    <w:basedOn w:val="Normal"/>
    <w:next w:val="SSBodyText"/>
    <w:link w:val="Heading4Char"/>
    <w:uiPriority w:val="9"/>
    <w:rsid w:val="00F83310"/>
    <w:pPr>
      <w:keepNext/>
      <w:keepLines/>
      <w:numPr>
        <w:ilvl w:val="3"/>
        <w:numId w:val="15"/>
      </w:numPr>
      <w:spacing w:after="240"/>
      <w:outlineLvl w:val="3"/>
    </w:pPr>
    <w:rPr>
      <w:rFonts w:eastAsiaTheme="majorEastAsia" w:cstheme="majorBidi"/>
      <w:iCs/>
    </w:rPr>
  </w:style>
  <w:style w:type="paragraph" w:styleId="Heading5">
    <w:name w:val="heading 5"/>
    <w:basedOn w:val="Normal"/>
    <w:next w:val="SSBodyText"/>
    <w:link w:val="Heading5Char"/>
    <w:uiPriority w:val="9"/>
    <w:semiHidden/>
    <w:unhideWhenUsed/>
    <w:rsid w:val="00F83310"/>
    <w:pPr>
      <w:keepNext/>
      <w:keepLines/>
      <w:numPr>
        <w:ilvl w:val="4"/>
        <w:numId w:val="15"/>
      </w:numPr>
      <w:spacing w:after="240"/>
      <w:outlineLvl w:val="4"/>
    </w:pPr>
    <w:rPr>
      <w:rFonts w:eastAsiaTheme="majorEastAsia" w:cstheme="majorBidi"/>
    </w:rPr>
  </w:style>
  <w:style w:type="paragraph" w:styleId="Heading6">
    <w:name w:val="heading 6"/>
    <w:basedOn w:val="Normal"/>
    <w:next w:val="SSBodyText"/>
    <w:link w:val="Heading6Char"/>
    <w:uiPriority w:val="9"/>
    <w:semiHidden/>
    <w:unhideWhenUsed/>
    <w:rsid w:val="00F83310"/>
    <w:pPr>
      <w:keepNext/>
      <w:keepLines/>
      <w:numPr>
        <w:ilvl w:val="5"/>
        <w:numId w:val="15"/>
      </w:numPr>
      <w:spacing w:after="240"/>
      <w:outlineLvl w:val="5"/>
    </w:pPr>
    <w:rPr>
      <w:rFonts w:eastAsiaTheme="majorEastAsia" w:cstheme="majorBidi"/>
    </w:rPr>
  </w:style>
  <w:style w:type="paragraph" w:styleId="Heading7">
    <w:name w:val="heading 7"/>
    <w:basedOn w:val="Normal"/>
    <w:next w:val="SSBodyText"/>
    <w:link w:val="Heading7Char"/>
    <w:uiPriority w:val="9"/>
    <w:semiHidden/>
    <w:unhideWhenUsed/>
    <w:rsid w:val="00F83310"/>
    <w:pPr>
      <w:keepNext/>
      <w:keepLines/>
      <w:numPr>
        <w:ilvl w:val="6"/>
        <w:numId w:val="15"/>
      </w:numPr>
      <w:spacing w:after="240"/>
      <w:outlineLvl w:val="6"/>
    </w:pPr>
    <w:rPr>
      <w:rFonts w:eastAsiaTheme="majorEastAsia" w:cstheme="majorBidi"/>
      <w:iCs/>
    </w:rPr>
  </w:style>
  <w:style w:type="paragraph" w:styleId="Heading8">
    <w:name w:val="heading 8"/>
    <w:basedOn w:val="Normal"/>
    <w:next w:val="SSBodyText"/>
    <w:link w:val="Heading8Char"/>
    <w:uiPriority w:val="9"/>
    <w:unhideWhenUsed/>
    <w:rsid w:val="00F83310"/>
    <w:pPr>
      <w:keepNext/>
      <w:keepLines/>
      <w:numPr>
        <w:ilvl w:val="7"/>
        <w:numId w:val="15"/>
      </w:numPr>
      <w:spacing w:after="240"/>
      <w:outlineLvl w:val="7"/>
    </w:pPr>
    <w:rPr>
      <w:rFonts w:eastAsiaTheme="majorEastAsia" w:cstheme="majorBidi"/>
      <w:szCs w:val="21"/>
    </w:rPr>
  </w:style>
  <w:style w:type="paragraph" w:styleId="Heading9">
    <w:name w:val="heading 9"/>
    <w:basedOn w:val="Normal"/>
    <w:next w:val="SSBodyText"/>
    <w:link w:val="Heading9Char"/>
    <w:uiPriority w:val="9"/>
    <w:semiHidden/>
    <w:unhideWhenUsed/>
    <w:rsid w:val="00F83310"/>
    <w:pPr>
      <w:keepNext/>
      <w:keepLines/>
      <w:numPr>
        <w:ilvl w:val="8"/>
        <w:numId w:val="15"/>
      </w:numPr>
      <w:spacing w:after="24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BodyText">
    <w:name w:val="SS Body Text"/>
    <w:basedOn w:val="Normal"/>
    <w:qFormat/>
    <w:rsid w:val="00AD3878"/>
    <w:pPr>
      <w:ind w:firstLine="720"/>
    </w:pPr>
  </w:style>
  <w:style w:type="paragraph" w:customStyle="1" w:styleId="DBBodyText">
    <w:name w:val="DB Body Text"/>
    <w:basedOn w:val="Normal"/>
    <w:uiPriority w:val="2"/>
    <w:qFormat/>
    <w:rsid w:val="00AD3878"/>
    <w:pPr>
      <w:spacing w:line="480" w:lineRule="auto"/>
      <w:ind w:firstLine="720"/>
    </w:pPr>
  </w:style>
  <w:style w:type="paragraph" w:customStyle="1" w:styleId="SSJBodyText">
    <w:name w:val="SSJ Body Text"/>
    <w:basedOn w:val="Normal"/>
    <w:qFormat/>
    <w:rsid w:val="00AD3878"/>
    <w:pPr>
      <w:ind w:firstLine="720"/>
      <w:jc w:val="both"/>
    </w:pPr>
  </w:style>
  <w:style w:type="paragraph" w:customStyle="1" w:styleId="DBJBodyText">
    <w:name w:val="DBJ Body Text"/>
    <w:basedOn w:val="Normal"/>
    <w:uiPriority w:val="2"/>
    <w:qFormat/>
    <w:rsid w:val="00AD3878"/>
    <w:pPr>
      <w:spacing w:line="480" w:lineRule="auto"/>
      <w:ind w:firstLine="720"/>
      <w:jc w:val="both"/>
    </w:pPr>
  </w:style>
  <w:style w:type="paragraph" w:styleId="Quote">
    <w:name w:val="Quote"/>
    <w:basedOn w:val="Normal"/>
    <w:next w:val="BodyTextContinued"/>
    <w:link w:val="QuoteChar"/>
    <w:qFormat/>
    <w:rsid w:val="00A77C4E"/>
    <w:pPr>
      <w:spacing w:after="240"/>
      <w:ind w:left="1440" w:right="1440"/>
    </w:pPr>
    <w:rPr>
      <w:szCs w:val="20"/>
    </w:rPr>
  </w:style>
  <w:style w:type="character" w:customStyle="1" w:styleId="QuoteChar">
    <w:name w:val="Quote Char"/>
    <w:basedOn w:val="DefaultParagraphFont"/>
    <w:link w:val="Quote"/>
    <w:rsid w:val="0000278E"/>
    <w:rPr>
      <w:rFonts w:cs="Times New Roman"/>
      <w:szCs w:val="20"/>
    </w:rPr>
  </w:style>
  <w:style w:type="paragraph" w:styleId="Title">
    <w:name w:val="Title"/>
    <w:basedOn w:val="Normal"/>
    <w:next w:val="SSBodyText"/>
    <w:link w:val="TitleChar"/>
    <w:uiPriority w:val="4"/>
    <w:qFormat/>
    <w:rsid w:val="008B712D"/>
    <w:pPr>
      <w:outlineLvl w:val="0"/>
    </w:pPr>
    <w:rPr>
      <w:rFonts w:eastAsiaTheme="majorEastAsia" w:cstheme="majorBidi"/>
      <w:szCs w:val="56"/>
    </w:rPr>
  </w:style>
  <w:style w:type="character" w:customStyle="1" w:styleId="TitleChar">
    <w:name w:val="Title Char"/>
    <w:basedOn w:val="DefaultParagraphFont"/>
    <w:link w:val="Title"/>
    <w:uiPriority w:val="4"/>
    <w:rsid w:val="008B712D"/>
    <w:rPr>
      <w:rFonts w:ascii="Times New Roman" w:eastAsiaTheme="majorEastAsia" w:hAnsi="Times New Roman" w:cstheme="majorBidi"/>
      <w:sz w:val="24"/>
      <w:szCs w:val="56"/>
    </w:rPr>
  </w:style>
  <w:style w:type="paragraph" w:customStyle="1" w:styleId="TitleBold">
    <w:name w:val="Title Bold"/>
    <w:basedOn w:val="Normal"/>
    <w:next w:val="SSBodyText"/>
    <w:uiPriority w:val="4"/>
    <w:qFormat/>
    <w:rsid w:val="006F78A2"/>
    <w:pPr>
      <w:outlineLvl w:val="0"/>
    </w:pPr>
    <w:rPr>
      <w:b/>
    </w:rPr>
  </w:style>
  <w:style w:type="character" w:customStyle="1" w:styleId="Heading1Char">
    <w:name w:val="Heading 1 Char"/>
    <w:basedOn w:val="DefaultParagraphFont"/>
    <w:link w:val="Heading1"/>
    <w:uiPriority w:val="9"/>
    <w:rsid w:val="00F83310"/>
    <w:rPr>
      <w:rFonts w:eastAsiaTheme="majorEastAsia" w:cstheme="majorBidi"/>
      <w:b/>
      <w:szCs w:val="32"/>
    </w:rPr>
  </w:style>
  <w:style w:type="character" w:customStyle="1" w:styleId="Heading2Char">
    <w:name w:val="Heading 2 Char"/>
    <w:basedOn w:val="DefaultParagraphFont"/>
    <w:link w:val="Heading2"/>
    <w:uiPriority w:val="9"/>
    <w:rsid w:val="00F83310"/>
    <w:rPr>
      <w:rFonts w:eastAsiaTheme="majorEastAsia" w:cstheme="majorBidi"/>
      <w:b/>
      <w:szCs w:val="26"/>
    </w:rPr>
  </w:style>
  <w:style w:type="character" w:customStyle="1" w:styleId="Heading3Char">
    <w:name w:val="Heading 3 Char"/>
    <w:basedOn w:val="DefaultParagraphFont"/>
    <w:link w:val="Heading3"/>
    <w:uiPriority w:val="9"/>
    <w:rsid w:val="00F83310"/>
    <w:rPr>
      <w:rFonts w:eastAsiaTheme="majorEastAsia" w:cstheme="majorBidi"/>
    </w:rPr>
  </w:style>
  <w:style w:type="character" w:customStyle="1" w:styleId="Heading4Char">
    <w:name w:val="Heading 4 Char"/>
    <w:basedOn w:val="DefaultParagraphFont"/>
    <w:link w:val="Heading4"/>
    <w:uiPriority w:val="9"/>
    <w:rsid w:val="00F83310"/>
    <w:rPr>
      <w:rFonts w:eastAsiaTheme="majorEastAsia" w:cstheme="majorBidi"/>
      <w:iCs/>
    </w:rPr>
  </w:style>
  <w:style w:type="character" w:customStyle="1" w:styleId="Heading5Char">
    <w:name w:val="Heading 5 Char"/>
    <w:basedOn w:val="DefaultParagraphFont"/>
    <w:link w:val="Heading5"/>
    <w:uiPriority w:val="9"/>
    <w:semiHidden/>
    <w:rsid w:val="00F83310"/>
    <w:rPr>
      <w:rFonts w:eastAsiaTheme="majorEastAsia" w:cstheme="majorBidi"/>
    </w:rPr>
  </w:style>
  <w:style w:type="character" w:customStyle="1" w:styleId="Heading6Char">
    <w:name w:val="Heading 6 Char"/>
    <w:basedOn w:val="DefaultParagraphFont"/>
    <w:link w:val="Heading6"/>
    <w:uiPriority w:val="9"/>
    <w:semiHidden/>
    <w:rsid w:val="00F83310"/>
    <w:rPr>
      <w:rFonts w:eastAsiaTheme="majorEastAsia" w:cstheme="majorBidi"/>
    </w:rPr>
  </w:style>
  <w:style w:type="character" w:customStyle="1" w:styleId="Heading7Char">
    <w:name w:val="Heading 7 Char"/>
    <w:basedOn w:val="DefaultParagraphFont"/>
    <w:link w:val="Heading7"/>
    <w:uiPriority w:val="9"/>
    <w:semiHidden/>
    <w:rsid w:val="00F83310"/>
    <w:rPr>
      <w:rFonts w:eastAsiaTheme="majorEastAsia" w:cstheme="majorBidi"/>
      <w:iCs/>
    </w:rPr>
  </w:style>
  <w:style w:type="character" w:customStyle="1" w:styleId="Heading8Char">
    <w:name w:val="Heading 8 Char"/>
    <w:basedOn w:val="DefaultParagraphFont"/>
    <w:link w:val="Heading8"/>
    <w:uiPriority w:val="9"/>
    <w:rsid w:val="00F83310"/>
    <w:rPr>
      <w:rFonts w:eastAsiaTheme="majorEastAsia" w:cstheme="majorBidi"/>
      <w:szCs w:val="21"/>
    </w:rPr>
  </w:style>
  <w:style w:type="character" w:customStyle="1" w:styleId="Heading9Char">
    <w:name w:val="Heading 9 Char"/>
    <w:basedOn w:val="DefaultParagraphFont"/>
    <w:link w:val="Heading9"/>
    <w:uiPriority w:val="9"/>
    <w:semiHidden/>
    <w:rsid w:val="00F83310"/>
    <w:rPr>
      <w:rFonts w:eastAsiaTheme="majorEastAsia" w:cstheme="majorBidi"/>
      <w:iCs/>
      <w:szCs w:val="21"/>
    </w:rPr>
  </w:style>
  <w:style w:type="paragraph" w:styleId="Header">
    <w:name w:val="header"/>
    <w:basedOn w:val="Normal"/>
    <w:link w:val="HeaderChar"/>
    <w:rsid w:val="00A77C4E"/>
    <w:pPr>
      <w:tabs>
        <w:tab w:val="center" w:pos="4680"/>
        <w:tab w:val="right" w:pos="9360"/>
      </w:tabs>
    </w:pPr>
  </w:style>
  <w:style w:type="character" w:customStyle="1" w:styleId="HeaderChar">
    <w:name w:val="Header Char"/>
    <w:basedOn w:val="DefaultParagraphFont"/>
    <w:link w:val="Header"/>
    <w:rsid w:val="0000278E"/>
    <w:rPr>
      <w:rFonts w:cs="Times New Roman"/>
    </w:rPr>
  </w:style>
  <w:style w:type="paragraph" w:styleId="Footer">
    <w:name w:val="footer"/>
    <w:basedOn w:val="Normal"/>
    <w:link w:val="FooterChar"/>
    <w:uiPriority w:val="99"/>
    <w:rsid w:val="00A77C4E"/>
    <w:pPr>
      <w:tabs>
        <w:tab w:val="center" w:pos="4680"/>
        <w:tab w:val="right" w:pos="9360"/>
      </w:tabs>
    </w:pPr>
  </w:style>
  <w:style w:type="character" w:customStyle="1" w:styleId="FooterChar">
    <w:name w:val="Footer Char"/>
    <w:basedOn w:val="DefaultParagraphFont"/>
    <w:link w:val="Footer"/>
    <w:uiPriority w:val="99"/>
    <w:rsid w:val="0000278E"/>
    <w:rPr>
      <w:rFonts w:cs="Times New Roman"/>
    </w:rPr>
  </w:style>
  <w:style w:type="character" w:styleId="PageNumber">
    <w:name w:val="page number"/>
    <w:basedOn w:val="DefaultParagraphFont"/>
    <w:rsid w:val="00A77C4E"/>
  </w:style>
  <w:style w:type="paragraph" w:customStyle="1" w:styleId="SigBlock">
    <w:name w:val="Sig Block"/>
    <w:basedOn w:val="Normal"/>
    <w:uiPriority w:val="4"/>
    <w:rsid w:val="00F83310"/>
    <w:pPr>
      <w:spacing w:after="240"/>
      <w:ind w:left="4680"/>
      <w:contextualSpacing/>
    </w:pPr>
  </w:style>
  <w:style w:type="paragraph" w:customStyle="1" w:styleId="SigBlockUnderline">
    <w:name w:val="Sig Block Underline"/>
    <w:basedOn w:val="Normal"/>
    <w:next w:val="SigBlock"/>
    <w:uiPriority w:val="4"/>
    <w:rsid w:val="00F83310"/>
    <w:pPr>
      <w:tabs>
        <w:tab w:val="right" w:pos="9360"/>
      </w:tabs>
      <w:ind w:left="4680"/>
    </w:pPr>
    <w:rPr>
      <w:u w:val="single"/>
    </w:rPr>
  </w:style>
  <w:style w:type="paragraph" w:styleId="BodyText">
    <w:name w:val="Body Text"/>
    <w:basedOn w:val="Normal"/>
    <w:link w:val="BodyTextChar"/>
    <w:uiPriority w:val="99"/>
    <w:rsid w:val="00A77C4E"/>
    <w:pPr>
      <w:widowControl w:val="0"/>
      <w:spacing w:after="240"/>
      <w:ind w:firstLine="720"/>
    </w:pPr>
  </w:style>
  <w:style w:type="character" w:customStyle="1" w:styleId="BodyTextChar">
    <w:name w:val="Body Text Char"/>
    <w:basedOn w:val="DefaultParagraphFont"/>
    <w:link w:val="BodyText"/>
    <w:uiPriority w:val="99"/>
    <w:rsid w:val="00DC39C7"/>
    <w:rPr>
      <w:rFonts w:cs="Times New Roman"/>
    </w:rPr>
  </w:style>
  <w:style w:type="paragraph" w:customStyle="1" w:styleId="BodyTextContinued">
    <w:name w:val="Body Text Continued"/>
    <w:basedOn w:val="BodyText"/>
    <w:next w:val="BodyText"/>
    <w:rsid w:val="00A77C4E"/>
    <w:pPr>
      <w:ind w:firstLine="0"/>
    </w:pPr>
    <w:rPr>
      <w:szCs w:val="20"/>
    </w:rPr>
  </w:style>
  <w:style w:type="numbering" w:customStyle="1" w:styleId="Testimony">
    <w:name w:val="Testimony"/>
    <w:uiPriority w:val="99"/>
    <w:rsid w:val="004114EF"/>
    <w:pPr>
      <w:numPr>
        <w:numId w:val="11"/>
      </w:numPr>
    </w:pPr>
  </w:style>
  <w:style w:type="paragraph" w:styleId="FootnoteText">
    <w:name w:val="footnote text"/>
    <w:basedOn w:val="Normal"/>
    <w:link w:val="FootnoteTextChar"/>
    <w:uiPriority w:val="99"/>
    <w:unhideWhenUsed/>
    <w:rsid w:val="00997781"/>
    <w:rPr>
      <w:sz w:val="20"/>
      <w:szCs w:val="20"/>
    </w:rPr>
  </w:style>
  <w:style w:type="character" w:customStyle="1" w:styleId="FootnoteTextChar">
    <w:name w:val="Footnote Text Char"/>
    <w:basedOn w:val="DefaultParagraphFont"/>
    <w:link w:val="FootnoteText"/>
    <w:uiPriority w:val="99"/>
    <w:rsid w:val="00997781"/>
    <w:rPr>
      <w:rFonts w:cs="Times New Roman"/>
      <w:sz w:val="20"/>
      <w:szCs w:val="20"/>
    </w:rPr>
  </w:style>
  <w:style w:type="character" w:styleId="FootnoteReference">
    <w:name w:val="footnote reference"/>
    <w:basedOn w:val="DefaultParagraphFont"/>
    <w:uiPriority w:val="99"/>
    <w:unhideWhenUsed/>
    <w:rsid w:val="00997781"/>
    <w:rPr>
      <w:vertAlign w:val="superscript"/>
    </w:rPr>
  </w:style>
  <w:style w:type="paragraph" w:styleId="BodyTextIndent3">
    <w:name w:val="Body Text Indent 3"/>
    <w:basedOn w:val="Normal"/>
    <w:link w:val="BodyTextIndent3Char"/>
    <w:uiPriority w:val="99"/>
    <w:rsid w:val="00997781"/>
    <w:pPr>
      <w:widowControl w:val="0"/>
      <w:overflowPunct w:val="0"/>
      <w:autoSpaceDE w:val="0"/>
      <w:autoSpaceDN w:val="0"/>
      <w:adjustRightInd w:val="0"/>
      <w:ind w:left="720" w:hanging="720"/>
      <w:textAlignment w:val="baseline"/>
    </w:pPr>
  </w:style>
  <w:style w:type="character" w:customStyle="1" w:styleId="BodyTextIndent3Char">
    <w:name w:val="Body Text Indent 3 Char"/>
    <w:basedOn w:val="DefaultParagraphFont"/>
    <w:link w:val="BodyTextIndent3"/>
    <w:uiPriority w:val="99"/>
    <w:rsid w:val="00997781"/>
    <w:rPr>
      <w:rFonts w:cs="Times New Roman"/>
    </w:rPr>
  </w:style>
  <w:style w:type="paragraph" w:styleId="BalloonText">
    <w:name w:val="Balloon Text"/>
    <w:basedOn w:val="Normal"/>
    <w:link w:val="BalloonTextChar"/>
    <w:uiPriority w:val="99"/>
    <w:semiHidden/>
    <w:unhideWhenUsed/>
    <w:rsid w:val="005D09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939"/>
    <w:rPr>
      <w:rFonts w:ascii="Segoe UI" w:hAnsi="Segoe UI" w:cs="Segoe UI"/>
      <w:sz w:val="18"/>
      <w:szCs w:val="18"/>
    </w:rPr>
  </w:style>
  <w:style w:type="paragraph" w:styleId="ListParagraph">
    <w:name w:val="List Paragraph"/>
    <w:basedOn w:val="Normal"/>
    <w:uiPriority w:val="34"/>
    <w:qFormat/>
    <w:rsid w:val="007F5D4E"/>
    <w:pPr>
      <w:ind w:left="720"/>
      <w:contextualSpacing/>
    </w:pPr>
  </w:style>
  <w:style w:type="character" w:customStyle="1" w:styleId="zzmpTrailerItem">
    <w:name w:val="zzmpTrailerItem"/>
    <w:basedOn w:val="DefaultParagraphFont"/>
    <w:rsid w:val="009C48A1"/>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5903BA"/>
    <w:rPr>
      <w:sz w:val="16"/>
      <w:szCs w:val="16"/>
    </w:rPr>
  </w:style>
  <w:style w:type="paragraph" w:styleId="CommentText">
    <w:name w:val="annotation text"/>
    <w:basedOn w:val="Normal"/>
    <w:link w:val="CommentTextChar"/>
    <w:uiPriority w:val="99"/>
    <w:semiHidden/>
    <w:unhideWhenUsed/>
    <w:rsid w:val="005903BA"/>
    <w:rPr>
      <w:sz w:val="20"/>
      <w:szCs w:val="20"/>
    </w:rPr>
  </w:style>
  <w:style w:type="character" w:customStyle="1" w:styleId="CommentTextChar">
    <w:name w:val="Comment Text Char"/>
    <w:basedOn w:val="DefaultParagraphFont"/>
    <w:link w:val="CommentText"/>
    <w:uiPriority w:val="99"/>
    <w:semiHidden/>
    <w:rsid w:val="005903BA"/>
    <w:rPr>
      <w:rFonts w:cs="Times New Roman"/>
      <w:sz w:val="20"/>
      <w:szCs w:val="20"/>
    </w:rPr>
  </w:style>
  <w:style w:type="paragraph" w:styleId="CommentSubject">
    <w:name w:val="annotation subject"/>
    <w:basedOn w:val="CommentText"/>
    <w:next w:val="CommentText"/>
    <w:link w:val="CommentSubjectChar"/>
    <w:uiPriority w:val="99"/>
    <w:semiHidden/>
    <w:unhideWhenUsed/>
    <w:rsid w:val="005903BA"/>
    <w:rPr>
      <w:b/>
      <w:bCs/>
    </w:rPr>
  </w:style>
  <w:style w:type="character" w:customStyle="1" w:styleId="CommentSubjectChar">
    <w:name w:val="Comment Subject Char"/>
    <w:basedOn w:val="CommentTextChar"/>
    <w:link w:val="CommentSubject"/>
    <w:uiPriority w:val="99"/>
    <w:semiHidden/>
    <w:rsid w:val="005903BA"/>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123985">
      <w:bodyDiv w:val="1"/>
      <w:marLeft w:val="0"/>
      <w:marRight w:val="0"/>
      <w:marTop w:val="0"/>
      <w:marBottom w:val="0"/>
      <w:divBdr>
        <w:top w:val="none" w:sz="0" w:space="0" w:color="auto"/>
        <w:left w:val="none" w:sz="0" w:space="0" w:color="auto"/>
        <w:bottom w:val="none" w:sz="0" w:space="0" w:color="auto"/>
        <w:right w:val="none" w:sz="0" w:space="0" w:color="auto"/>
      </w:divBdr>
    </w:div>
    <w:div w:id="7757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B70E2-5086-465C-8A00-A6E3A6B1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2235</Words>
  <Characters>12743</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Combs</dc:creator>
  <cp:keywords/>
  <dc:description/>
  <cp:lastModifiedBy>Pendergrass, Susan G.</cp:lastModifiedBy>
  <cp:revision>2</cp:revision>
  <cp:lastPrinted>2017-05-30T16:10:00Z</cp:lastPrinted>
  <dcterms:created xsi:type="dcterms:W3CDTF">2021-02-22T18:12:00Z</dcterms:created>
  <dcterms:modified xsi:type="dcterms:W3CDTF">2021-02-22T18:12:00Z</dcterms:modified>
</cp:coreProperties>
</file>